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1: IDENTYFIKACJA MIESZANINY I IDENTYFIKACJA PRZEDSIĘBIORSTWA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1.1. Identyfikator produktu</w:t>
      </w:r>
    </w:p>
    <w:p w:rsidR="00DA702C" w:rsidRDefault="00DA702C" w:rsidP="009C6755">
      <w:pPr>
        <w:rPr>
          <w:rFonts w:asciiTheme="minorHAnsi" w:hAnsiTheme="minorHAnsi"/>
          <w:color w:val="808080"/>
          <w:sz w:val="18"/>
          <w:szCs w:val="18"/>
        </w:rPr>
      </w:pPr>
      <w:r w:rsidRPr="00DA702C">
        <w:rPr>
          <w:rFonts w:asciiTheme="minorHAnsi" w:hAnsiTheme="minorHAnsi"/>
          <w:color w:val="808080"/>
          <w:sz w:val="18"/>
          <w:szCs w:val="18"/>
        </w:rPr>
        <w:t xml:space="preserve">ANTS CONTROL granulat 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bookmarkStart w:id="0" w:name="_GoBack"/>
      <w:bookmarkEnd w:id="0"/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1.2.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Istotne zidentyfikowane zastosowania mieszaniny oraz zastosowania odradzane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  <w:u w:val="single"/>
        </w:rPr>
        <w:t>Zastosowania zidentyfikowane</w:t>
      </w:r>
    </w:p>
    <w:p w:rsidR="001049FF" w:rsidRPr="00A76029" w:rsidRDefault="00D554C1" w:rsidP="00D554C1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="00710610">
        <w:rPr>
          <w:rFonts w:asciiTheme="minorHAnsi" w:hAnsiTheme="minorHAnsi"/>
          <w:bCs/>
          <w:color w:val="808080"/>
          <w:sz w:val="18"/>
          <w:szCs w:val="18"/>
        </w:rPr>
        <w:t>Preparat zwalczający mrówki, przynęta w formie granulatu do posypania.</w:t>
      </w:r>
    </w:p>
    <w:p w:rsidR="002C35EC" w:rsidRPr="00A76029" w:rsidRDefault="002C35EC" w:rsidP="003D3506">
      <w:pPr>
        <w:rPr>
          <w:rFonts w:asciiTheme="minorHAnsi" w:hAnsiTheme="minorHAnsi"/>
          <w:b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  <w:u w:val="single"/>
        </w:rPr>
        <w:t>Zastosowania odradzane</w:t>
      </w:r>
    </w:p>
    <w:p w:rsidR="002C35EC" w:rsidRPr="00A76029" w:rsidRDefault="008F5C01" w:rsidP="003D3506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Wszystkie inne niż zalecane.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1.3.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Dane dotyczące dostawcy karty charakterystyki</w:t>
      </w:r>
    </w:p>
    <w:p w:rsidR="008F5C01" w:rsidRPr="00A76029" w:rsidRDefault="008F5C01" w:rsidP="00D16C84">
      <w:pPr>
        <w:pStyle w:val="Stopka"/>
        <w:tabs>
          <w:tab w:val="clear" w:pos="4536"/>
          <w:tab w:val="clear" w:pos="9072"/>
          <w:tab w:val="left" w:pos="7112"/>
        </w:tabs>
        <w:jc w:val="center"/>
        <w:rPr>
          <w:rFonts w:asciiTheme="minorHAnsi" w:hAnsiTheme="minorHAnsi" w:cs="Calibri"/>
          <w:iCs/>
          <w:color w:val="808080"/>
          <w:sz w:val="18"/>
          <w:szCs w:val="18"/>
        </w:rPr>
      </w:pPr>
      <w:r w:rsidRPr="00A76029">
        <w:rPr>
          <w:rFonts w:asciiTheme="minorHAnsi" w:hAnsiTheme="minorHAnsi" w:cs="Calibri"/>
          <w:iCs/>
          <w:color w:val="808080"/>
          <w:sz w:val="18"/>
          <w:szCs w:val="18"/>
        </w:rPr>
        <w:t>Synthos Agro Sp. z o.o.</w:t>
      </w:r>
    </w:p>
    <w:p w:rsidR="008F5C01" w:rsidRPr="00A76029" w:rsidRDefault="008F5C01" w:rsidP="00D16C84">
      <w:pPr>
        <w:pStyle w:val="Stopka"/>
        <w:tabs>
          <w:tab w:val="right" w:pos="9323"/>
        </w:tabs>
        <w:jc w:val="center"/>
        <w:rPr>
          <w:rFonts w:asciiTheme="minorHAnsi" w:hAnsiTheme="minorHAnsi" w:cs="Calibri"/>
          <w:iCs/>
          <w:color w:val="808080"/>
          <w:sz w:val="18"/>
          <w:szCs w:val="18"/>
        </w:rPr>
      </w:pPr>
      <w:r w:rsidRPr="00A76029">
        <w:rPr>
          <w:rFonts w:asciiTheme="minorHAnsi" w:hAnsiTheme="minorHAnsi" w:cs="Calibri"/>
          <w:iCs/>
          <w:color w:val="808080"/>
          <w:sz w:val="18"/>
          <w:szCs w:val="18"/>
        </w:rPr>
        <w:t>Ul. Chemików 1</w:t>
      </w:r>
    </w:p>
    <w:p w:rsidR="002C35EC" w:rsidRPr="00A76029" w:rsidRDefault="002C35EC" w:rsidP="00D16C84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32-600 Oświęcim</w:t>
      </w:r>
      <w:r w:rsidR="00513B4E" w:rsidRPr="00A76029">
        <w:rPr>
          <w:rFonts w:asciiTheme="minorHAnsi" w:hAnsiTheme="minorHAnsi"/>
          <w:color w:val="808080"/>
          <w:sz w:val="18"/>
          <w:szCs w:val="18"/>
        </w:rPr>
        <w:t xml:space="preserve">, </w:t>
      </w:r>
      <w:r w:rsidRPr="00A76029">
        <w:rPr>
          <w:rFonts w:asciiTheme="minorHAnsi" w:hAnsiTheme="minorHAnsi"/>
          <w:color w:val="808080"/>
          <w:sz w:val="18"/>
          <w:szCs w:val="18"/>
        </w:rPr>
        <w:t>Polska</w:t>
      </w:r>
    </w:p>
    <w:p w:rsidR="002C35EC" w:rsidRPr="00A76029" w:rsidRDefault="002C35EC" w:rsidP="00D16C84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Tel. + </w:t>
      </w:r>
      <w:smartTag w:uri="urn:schemas-microsoft-com:office:smarttags" w:element="phone">
        <w:smartTagPr>
          <w:attr w:name="ls" w:val="trans"/>
        </w:smartTagPr>
        <w:r w:rsidRPr="00A76029">
          <w:rPr>
            <w:rFonts w:asciiTheme="minorHAnsi" w:hAnsiTheme="minorHAnsi"/>
            <w:color w:val="808080"/>
            <w:sz w:val="18"/>
            <w:szCs w:val="18"/>
          </w:rPr>
          <w:t>48 33 844 18 21</w:t>
        </w:r>
      </w:smartTag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sym w:font="Symbol" w:char="F0B8"/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25</w:t>
      </w:r>
    </w:p>
    <w:p w:rsidR="002C35EC" w:rsidRPr="00D16C84" w:rsidRDefault="002C35EC" w:rsidP="00D16C84">
      <w:pPr>
        <w:jc w:val="center"/>
        <w:rPr>
          <w:rFonts w:asciiTheme="minorHAnsi" w:hAnsiTheme="minorHAnsi"/>
          <w:color w:val="808080"/>
          <w:sz w:val="18"/>
          <w:szCs w:val="18"/>
          <w:lang w:val="en-GB"/>
        </w:rPr>
      </w:pPr>
      <w:r w:rsidRPr="00D16C84">
        <w:rPr>
          <w:rFonts w:asciiTheme="minorHAnsi" w:hAnsiTheme="minorHAnsi"/>
          <w:color w:val="808080"/>
          <w:sz w:val="18"/>
          <w:szCs w:val="18"/>
          <w:lang w:val="en-GB"/>
        </w:rPr>
        <w:t xml:space="preserve">Fax + </w:t>
      </w:r>
      <w:smartTag w:uri="urn:schemas-microsoft-com:office:smarttags" w:element="phone">
        <w:smartTagPr>
          <w:attr w:name="ls" w:val="trans"/>
        </w:smartTagPr>
        <w:r w:rsidRPr="00D16C84">
          <w:rPr>
            <w:rFonts w:asciiTheme="minorHAnsi" w:hAnsiTheme="minorHAnsi"/>
            <w:color w:val="808080"/>
            <w:sz w:val="18"/>
            <w:szCs w:val="18"/>
            <w:lang w:val="en-GB"/>
          </w:rPr>
          <w:t>48 33 842 42 18</w:t>
        </w:r>
      </w:smartTag>
    </w:p>
    <w:p w:rsidR="002C35EC" w:rsidRPr="00D16C84" w:rsidRDefault="002C35EC" w:rsidP="00D16C84">
      <w:pPr>
        <w:jc w:val="center"/>
        <w:rPr>
          <w:rFonts w:asciiTheme="minorHAnsi" w:hAnsiTheme="minorHAnsi"/>
          <w:color w:val="808080"/>
          <w:sz w:val="18"/>
          <w:szCs w:val="18"/>
          <w:lang w:val="en-GB"/>
        </w:rPr>
      </w:pPr>
      <w:r w:rsidRPr="00D16C84">
        <w:rPr>
          <w:rFonts w:asciiTheme="minorHAnsi" w:hAnsiTheme="minorHAnsi"/>
          <w:color w:val="808080"/>
          <w:sz w:val="18"/>
          <w:szCs w:val="18"/>
          <w:lang w:val="en-GB"/>
        </w:rPr>
        <w:t xml:space="preserve">e-mail: </w:t>
      </w:r>
      <w:hyperlink r:id="rId7" w:history="1">
        <w:r w:rsidR="008F5C01" w:rsidRPr="00D16C84">
          <w:rPr>
            <w:rStyle w:val="Hipercze"/>
            <w:rFonts w:asciiTheme="minorHAnsi" w:hAnsiTheme="minorHAnsi"/>
            <w:sz w:val="18"/>
            <w:szCs w:val="18"/>
            <w:lang w:val="en-GB"/>
          </w:rPr>
          <w:t>Marcin.Kosman@synthosgroup.com</w:t>
        </w:r>
      </w:hyperlink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1.4. Numer telefonu alarmowego</w:t>
      </w:r>
    </w:p>
    <w:p w:rsidR="002C35EC" w:rsidRPr="00A76029" w:rsidRDefault="002C35EC" w:rsidP="00D16C84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+ 48 33 847 </w:t>
      </w:r>
      <w:r w:rsidR="008F5C01" w:rsidRPr="00A76029">
        <w:rPr>
          <w:rFonts w:asciiTheme="minorHAnsi" w:hAnsiTheme="minorHAnsi"/>
          <w:color w:val="808080"/>
          <w:sz w:val="18"/>
          <w:szCs w:val="18"/>
        </w:rPr>
        <w:t>47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8F5C01" w:rsidRPr="00A76029">
        <w:rPr>
          <w:rFonts w:asciiTheme="minorHAnsi" w:hAnsiTheme="minorHAnsi"/>
          <w:color w:val="808080"/>
          <w:sz w:val="18"/>
          <w:szCs w:val="18"/>
        </w:rPr>
        <w:t>77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(dostępny </w:t>
      </w:r>
      <w:r w:rsidR="008F5C01" w:rsidRPr="00A76029">
        <w:rPr>
          <w:rFonts w:asciiTheme="minorHAnsi" w:hAnsiTheme="minorHAnsi"/>
          <w:color w:val="808080"/>
          <w:sz w:val="18"/>
          <w:szCs w:val="18"/>
        </w:rPr>
        <w:t>8:00-16:00</w:t>
      </w:r>
      <w:r w:rsidRPr="00A76029">
        <w:rPr>
          <w:rFonts w:asciiTheme="minorHAnsi" w:hAnsiTheme="minorHAnsi"/>
          <w:color w:val="808080"/>
          <w:sz w:val="18"/>
          <w:szCs w:val="18"/>
        </w:rPr>
        <w:t>)</w:t>
      </w:r>
    </w:p>
    <w:p w:rsidR="00D16C84" w:rsidRPr="00B53CB8" w:rsidRDefault="00D16C84" w:rsidP="00D16C84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B53CB8">
        <w:rPr>
          <w:rFonts w:asciiTheme="minorHAnsi" w:hAnsiTheme="minorHAnsi"/>
          <w:color w:val="808080"/>
          <w:sz w:val="18"/>
          <w:szCs w:val="18"/>
        </w:rPr>
        <w:t>112 - jednolity numer alarmowym obowiązującym na terenie całej Unii Europejskiej</w:t>
      </w:r>
    </w:p>
    <w:p w:rsidR="00D16C84" w:rsidRPr="00A76029" w:rsidRDefault="00D16C84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2: IDENTYFIKACJA ZAGROŻEŃ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2.1. Klasyfikacja </w:t>
      </w:r>
      <w:r w:rsidR="00513B4E" w:rsidRPr="00A76029">
        <w:rPr>
          <w:rFonts w:asciiTheme="minorHAnsi" w:hAnsiTheme="minorHAnsi"/>
          <w:b/>
          <w:color w:val="808080"/>
          <w:sz w:val="18"/>
          <w:szCs w:val="18"/>
        </w:rPr>
        <w:t xml:space="preserve">substancji lub 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>mieszaniny</w:t>
      </w:r>
    </w:p>
    <w:p w:rsidR="003D3506" w:rsidRPr="00A76029" w:rsidRDefault="003D3506" w:rsidP="009C6755">
      <w:pPr>
        <w:rPr>
          <w:rFonts w:asciiTheme="minorHAnsi" w:hAnsiTheme="minorHAnsi"/>
          <w:b/>
          <w:color w:val="808080"/>
          <w:sz w:val="18"/>
          <w:szCs w:val="18"/>
        </w:rPr>
      </w:pPr>
    </w:p>
    <w:tbl>
      <w:tblPr>
        <w:tblW w:w="94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/>
      </w:tblPr>
      <w:tblGrid>
        <w:gridCol w:w="3646"/>
        <w:gridCol w:w="5822"/>
      </w:tblGrid>
      <w:tr w:rsidR="003D3506" w:rsidRPr="00A76029" w:rsidTr="00856578">
        <w:tc>
          <w:tcPr>
            <w:tcW w:w="3646" w:type="dxa"/>
            <w:shd w:val="clear" w:color="auto" w:fill="004A9B"/>
          </w:tcPr>
          <w:p w:rsidR="003D3506" w:rsidRPr="00A76029" w:rsidRDefault="003D3506" w:rsidP="00856578">
            <w:pPr>
              <w:rPr>
                <w:rFonts w:ascii="Calibri" w:hAnsi="Calibri"/>
                <w:b/>
                <w:color w:val="FFFFFF"/>
                <w:sz w:val="20"/>
                <w:szCs w:val="18"/>
              </w:rPr>
            </w:pPr>
            <w:r w:rsidRPr="00A76029">
              <w:rPr>
                <w:rFonts w:ascii="Calibri" w:hAnsi="Calibri"/>
                <w:b/>
                <w:color w:val="FFFFFF"/>
                <w:sz w:val="20"/>
                <w:szCs w:val="18"/>
              </w:rPr>
              <w:t>Klasa zagrożenia i kod kategorii</w:t>
            </w:r>
          </w:p>
        </w:tc>
        <w:tc>
          <w:tcPr>
            <w:tcW w:w="5822" w:type="dxa"/>
            <w:shd w:val="clear" w:color="auto" w:fill="004A9B"/>
          </w:tcPr>
          <w:p w:rsidR="003D3506" w:rsidRPr="00A76029" w:rsidRDefault="003D3506" w:rsidP="00856578">
            <w:pPr>
              <w:rPr>
                <w:rFonts w:ascii="Calibri" w:hAnsi="Calibri"/>
                <w:b/>
                <w:color w:val="FFFFFF"/>
                <w:sz w:val="20"/>
                <w:szCs w:val="18"/>
              </w:rPr>
            </w:pPr>
            <w:r w:rsidRPr="00A76029">
              <w:rPr>
                <w:rFonts w:ascii="Calibri" w:hAnsi="Calibri"/>
                <w:b/>
                <w:color w:val="FFFFFF"/>
                <w:sz w:val="20"/>
                <w:szCs w:val="18"/>
              </w:rPr>
              <w:t>Numery i treść zwrotów określających zagrożenie</w:t>
            </w:r>
          </w:p>
        </w:tc>
      </w:tr>
      <w:tr w:rsidR="004A1F1D" w:rsidRPr="00A76029" w:rsidTr="00856578">
        <w:tc>
          <w:tcPr>
            <w:tcW w:w="3646" w:type="dxa"/>
            <w:shd w:val="clear" w:color="auto" w:fill="F3F3F3"/>
          </w:tcPr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20"/>
                <w:szCs w:val="18"/>
              </w:rPr>
            </w:pPr>
            <w:r w:rsidRPr="00A76029">
              <w:rPr>
                <w:rFonts w:ascii="Calibri" w:hAnsi="Calibri"/>
                <w:color w:val="808080"/>
                <w:sz w:val="20"/>
                <w:szCs w:val="18"/>
              </w:rPr>
              <w:t>Aquatic Acute 1</w:t>
            </w:r>
          </w:p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16"/>
                <w:szCs w:val="16"/>
              </w:rPr>
            </w:pPr>
            <w:r w:rsidRPr="00A76029">
              <w:rPr>
                <w:rFonts w:ascii="Calibri" w:hAnsi="Calibri"/>
                <w:color w:val="808080"/>
                <w:sz w:val="16"/>
                <w:szCs w:val="16"/>
              </w:rPr>
              <w:t>(Stwarzające ostre zagrożenie dla środowiska wodnego kategorii 1)</w:t>
            </w:r>
          </w:p>
        </w:tc>
        <w:tc>
          <w:tcPr>
            <w:tcW w:w="5822" w:type="dxa"/>
            <w:shd w:val="clear" w:color="auto" w:fill="F3F3F3"/>
            <w:vAlign w:val="center"/>
          </w:tcPr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20"/>
                <w:szCs w:val="18"/>
              </w:rPr>
            </w:pPr>
            <w:r w:rsidRPr="00A76029">
              <w:rPr>
                <w:rFonts w:ascii="Calibri" w:hAnsi="Calibri"/>
                <w:color w:val="808080"/>
                <w:sz w:val="20"/>
                <w:szCs w:val="18"/>
              </w:rPr>
              <w:t xml:space="preserve">H400 - Działa bardzo toksycznie na organizmy wodne </w:t>
            </w:r>
          </w:p>
        </w:tc>
      </w:tr>
      <w:tr w:rsidR="004A1F1D" w:rsidRPr="00A76029" w:rsidTr="00856578">
        <w:tc>
          <w:tcPr>
            <w:tcW w:w="3646" w:type="dxa"/>
            <w:shd w:val="clear" w:color="auto" w:fill="F3F3F3"/>
          </w:tcPr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20"/>
                <w:szCs w:val="18"/>
              </w:rPr>
            </w:pPr>
            <w:r w:rsidRPr="00A76029">
              <w:rPr>
                <w:rFonts w:ascii="Calibri" w:hAnsi="Calibri"/>
                <w:color w:val="808080"/>
                <w:sz w:val="20"/>
                <w:szCs w:val="18"/>
              </w:rPr>
              <w:t>Aquatic Chronic 1</w:t>
            </w:r>
          </w:p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20"/>
                <w:szCs w:val="18"/>
              </w:rPr>
            </w:pPr>
            <w:r w:rsidRPr="00A76029">
              <w:rPr>
                <w:rFonts w:ascii="Calibri" w:hAnsi="Calibri"/>
                <w:color w:val="808080"/>
                <w:sz w:val="16"/>
                <w:szCs w:val="16"/>
              </w:rPr>
              <w:t>(Stwarzające przewlekłe zagrożenie dla środowiska wodnego kategorii 1)</w:t>
            </w:r>
          </w:p>
        </w:tc>
        <w:tc>
          <w:tcPr>
            <w:tcW w:w="5822" w:type="dxa"/>
            <w:shd w:val="clear" w:color="auto" w:fill="F3F3F3"/>
            <w:vAlign w:val="center"/>
          </w:tcPr>
          <w:p w:rsidR="004A1F1D" w:rsidRPr="00A76029" w:rsidRDefault="004A1F1D" w:rsidP="004A1F1D">
            <w:pPr>
              <w:rPr>
                <w:rFonts w:ascii="Calibri" w:hAnsi="Calibri"/>
                <w:color w:val="808080"/>
                <w:sz w:val="20"/>
                <w:szCs w:val="18"/>
              </w:rPr>
            </w:pPr>
            <w:r w:rsidRPr="00A76029">
              <w:rPr>
                <w:rFonts w:ascii="Calibri" w:hAnsi="Calibri"/>
                <w:color w:val="808080"/>
                <w:sz w:val="20"/>
                <w:szCs w:val="18"/>
              </w:rPr>
              <w:t>H410 - Działa bardzo toksycznie na organizmy wodne, powodując długotrwałe skutki</w:t>
            </w:r>
          </w:p>
        </w:tc>
      </w:tr>
    </w:tbl>
    <w:p w:rsidR="003D3506" w:rsidRPr="00A76029" w:rsidRDefault="003D3506" w:rsidP="009C6755">
      <w:pPr>
        <w:rPr>
          <w:rFonts w:asciiTheme="minorHAnsi" w:hAnsiTheme="minorHAnsi"/>
          <w:b/>
          <w:color w:val="808080"/>
          <w:sz w:val="18"/>
          <w:szCs w:val="18"/>
        </w:rPr>
      </w:pPr>
    </w:p>
    <w:p w:rsidR="002C35EC" w:rsidRPr="00A76029" w:rsidRDefault="002C35EC" w:rsidP="00747ACD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2.2. Elementy oznakowania</w:t>
      </w:r>
    </w:p>
    <w:p w:rsidR="000B504D" w:rsidRPr="00A76029" w:rsidRDefault="000B504D" w:rsidP="000B504D">
      <w:pPr>
        <w:rPr>
          <w:rFonts w:asciiTheme="minorHAnsi" w:hAnsiTheme="minorHAnsi"/>
          <w:i/>
          <w:color w:val="808080"/>
          <w:sz w:val="18"/>
          <w:szCs w:val="18"/>
        </w:rPr>
      </w:pPr>
      <w:r w:rsidRPr="00A76029">
        <w:rPr>
          <w:rFonts w:asciiTheme="minorHAnsi" w:hAnsiTheme="minorHAnsi"/>
          <w:i/>
          <w:color w:val="808080"/>
          <w:sz w:val="18"/>
          <w:szCs w:val="18"/>
        </w:rPr>
        <w:t>Symbol: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4A1F1D" w:rsidRPr="00A76029" w:rsidTr="00B1162F">
        <w:trPr>
          <w:trHeight w:val="2535"/>
          <w:jc w:val="center"/>
        </w:trPr>
        <w:tc>
          <w:tcPr>
            <w:tcW w:w="3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F1D" w:rsidRPr="00A76029" w:rsidRDefault="004A1F1D" w:rsidP="001049FF">
            <w:pPr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F1D" w:rsidRPr="00A76029" w:rsidRDefault="00710610" w:rsidP="00873691">
            <w:pPr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A76029">
              <w:rPr>
                <w:rFonts w:ascii="Arial" w:hAnsi="Arial"/>
                <w:i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3365" cy="152336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0px-GHS-pictogram-pollu_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F1D" w:rsidRPr="00A76029" w:rsidRDefault="004A1F1D" w:rsidP="004A1F1D">
            <w:pPr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</w:tc>
      </w:tr>
      <w:tr w:rsidR="00747ACD" w:rsidRPr="00A76029" w:rsidTr="00B1162F">
        <w:trPr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CD" w:rsidRPr="00A76029" w:rsidRDefault="00747ACD" w:rsidP="00710610">
            <w:pPr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A76029">
              <w:rPr>
                <w:rFonts w:asciiTheme="minorHAnsi" w:hAnsiTheme="minorHAnsi"/>
                <w:i/>
                <w:iCs/>
                <w:color w:val="808080"/>
                <w:sz w:val="18"/>
                <w:szCs w:val="18"/>
              </w:rPr>
              <w:t>Hasło ostrzegawcze:</w:t>
            </w:r>
            <w:r w:rsidRPr="00A76029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</w:t>
            </w:r>
            <w:r w:rsidR="00710610">
              <w:rPr>
                <w:rFonts w:asciiTheme="minorHAnsi" w:hAnsiTheme="minorHAnsi"/>
                <w:color w:val="808080"/>
                <w:sz w:val="18"/>
                <w:szCs w:val="18"/>
              </w:rPr>
              <w:t>UWAGA</w:t>
            </w:r>
          </w:p>
        </w:tc>
      </w:tr>
    </w:tbl>
    <w:p w:rsidR="00873691" w:rsidRPr="00A76029" w:rsidRDefault="00873691" w:rsidP="00747ACD">
      <w:pPr>
        <w:rPr>
          <w:rFonts w:asciiTheme="minorHAnsi" w:hAnsiTheme="minorHAnsi"/>
          <w:i/>
          <w:color w:val="808080"/>
          <w:sz w:val="18"/>
          <w:szCs w:val="18"/>
        </w:rPr>
      </w:pPr>
      <w:r w:rsidRPr="00A76029">
        <w:rPr>
          <w:rFonts w:asciiTheme="minorHAnsi" w:hAnsiTheme="minorHAnsi"/>
          <w:i/>
          <w:color w:val="808080"/>
          <w:sz w:val="18"/>
          <w:szCs w:val="18"/>
        </w:rPr>
        <w:t>Zwroty wskazujące rodzaj zagrożenia:</w:t>
      </w:r>
    </w:p>
    <w:p w:rsidR="00710610" w:rsidRDefault="00710610" w:rsidP="00710610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710610">
        <w:rPr>
          <w:rFonts w:asciiTheme="minorHAnsi" w:hAnsiTheme="minorHAnsi"/>
          <w:color w:val="808080"/>
          <w:sz w:val="18"/>
          <w:szCs w:val="18"/>
        </w:rPr>
        <w:t>H410 Działa bardzo toksycznie na organizmy wodne, powodując długotrwałe zmiany</w:t>
      </w:r>
    </w:p>
    <w:p w:rsidR="00747ACD" w:rsidRPr="00A76029" w:rsidRDefault="00873691" w:rsidP="00710610">
      <w:pPr>
        <w:rPr>
          <w:rFonts w:asciiTheme="minorHAnsi" w:hAnsiTheme="minorHAnsi"/>
          <w:i/>
          <w:color w:val="808080"/>
          <w:sz w:val="18"/>
          <w:szCs w:val="18"/>
        </w:rPr>
      </w:pPr>
      <w:r w:rsidRPr="00A76029">
        <w:rPr>
          <w:rFonts w:asciiTheme="minorHAnsi" w:hAnsiTheme="minorHAnsi"/>
          <w:i/>
          <w:color w:val="808080"/>
          <w:sz w:val="18"/>
          <w:szCs w:val="18"/>
        </w:rPr>
        <w:t>Zwroty określające warunki  bezpiecznego stosowania:</w:t>
      </w:r>
    </w:p>
    <w:p w:rsidR="00A76029" w:rsidRPr="00A76029" w:rsidRDefault="00747ACD" w:rsidP="000B504D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="00710610" w:rsidRPr="00710610">
        <w:rPr>
          <w:rFonts w:asciiTheme="minorHAnsi" w:hAnsiTheme="minorHAnsi"/>
          <w:color w:val="808080"/>
          <w:sz w:val="18"/>
          <w:szCs w:val="18"/>
        </w:rPr>
        <w:t>P102 Chronić przed dziećmi.</w:t>
      </w:r>
    </w:p>
    <w:p w:rsidR="000B504D" w:rsidRDefault="00710610" w:rsidP="000B504D">
      <w:pPr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tab/>
        <w:t>P261 Unikać wdychania pyłu.</w:t>
      </w:r>
    </w:p>
    <w:p w:rsidR="00710610" w:rsidRPr="00A76029" w:rsidRDefault="00710610" w:rsidP="000B504D">
      <w:pPr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tab/>
      </w:r>
      <w:r w:rsidRPr="00710610">
        <w:rPr>
          <w:rFonts w:asciiTheme="minorHAnsi" w:hAnsiTheme="minorHAnsi"/>
          <w:color w:val="808080"/>
          <w:sz w:val="18"/>
          <w:szCs w:val="18"/>
        </w:rPr>
        <w:t>P391 Zebrać wyciek.</w:t>
      </w:r>
    </w:p>
    <w:p w:rsidR="00710610" w:rsidRPr="00710610" w:rsidRDefault="00710610" w:rsidP="00710610">
      <w:pPr>
        <w:rPr>
          <w:rFonts w:asciiTheme="minorHAnsi" w:hAnsiTheme="minorHAnsi"/>
          <w:color w:val="808080"/>
          <w:sz w:val="18"/>
          <w:szCs w:val="18"/>
        </w:rPr>
      </w:pPr>
      <w:r w:rsidRPr="00710610">
        <w:rPr>
          <w:rFonts w:asciiTheme="minorHAnsi" w:hAnsiTheme="minorHAnsi"/>
          <w:color w:val="808080"/>
          <w:sz w:val="18"/>
          <w:szCs w:val="18"/>
        </w:rPr>
        <w:t>Dodatkowe oznakowanie:</w:t>
      </w:r>
    </w:p>
    <w:p w:rsidR="004E4E9C" w:rsidRPr="00A76029" w:rsidRDefault="00710610" w:rsidP="00710610">
      <w:pPr>
        <w:rPr>
          <w:rFonts w:asciiTheme="minorHAnsi" w:hAnsiTheme="minorHAnsi"/>
          <w:color w:val="808080"/>
          <w:sz w:val="18"/>
          <w:szCs w:val="18"/>
        </w:rPr>
      </w:pPr>
      <w:r w:rsidRPr="00710610">
        <w:rPr>
          <w:rFonts w:asciiTheme="minorHAnsi" w:hAnsiTheme="minorHAnsi"/>
          <w:color w:val="808080"/>
          <w:sz w:val="18"/>
          <w:szCs w:val="18"/>
        </w:rPr>
        <w:tab/>
        <w:t>Zawiera substancje</w:t>
      </w:r>
      <w:r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710610">
        <w:rPr>
          <w:rFonts w:asciiTheme="minorHAnsi" w:hAnsiTheme="minorHAnsi"/>
          <w:color w:val="808080"/>
          <w:sz w:val="18"/>
          <w:szCs w:val="18"/>
        </w:rPr>
        <w:t>czynne: 0,50% (m/m) cypermetryny (0,5g/100g)</w:t>
      </w:r>
    </w:p>
    <w:p w:rsidR="00747ACD" w:rsidRPr="00A76029" w:rsidRDefault="00747ACD" w:rsidP="008D717C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8D717C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2.3. Inne zagrożenia</w:t>
      </w:r>
    </w:p>
    <w:p w:rsidR="002C35EC" w:rsidRPr="00A76029" w:rsidRDefault="00710610" w:rsidP="009C6755">
      <w:pPr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lastRenderedPageBreak/>
        <w:t>Brak. Produkt biobójczy</w:t>
      </w:r>
      <w:r w:rsidRPr="00710610">
        <w:rPr>
          <w:rFonts w:asciiTheme="minorHAnsi" w:hAnsiTheme="minorHAnsi"/>
          <w:color w:val="808080"/>
          <w:sz w:val="18"/>
          <w:szCs w:val="18"/>
        </w:rPr>
        <w:t xml:space="preserve"> nie podlega ocenie pod względem spełnienia kryteriów PBT, vPvB.</w:t>
      </w:r>
      <w:r>
        <w:rPr>
          <w:rFonts w:asciiTheme="minorHAnsi" w:hAnsiTheme="minorHAnsi"/>
          <w:color w:val="808080"/>
          <w:sz w:val="18"/>
          <w:szCs w:val="18"/>
        </w:rPr>
        <w:t xml:space="preserve"> Żaden ze składników mieszaniny nie spełnia kryteriów </w:t>
      </w:r>
      <w:r w:rsidRPr="00710610">
        <w:rPr>
          <w:rFonts w:asciiTheme="minorHAnsi" w:hAnsiTheme="minorHAnsi"/>
          <w:color w:val="808080"/>
          <w:sz w:val="18"/>
          <w:szCs w:val="18"/>
        </w:rPr>
        <w:t>PBT, vPvB</w:t>
      </w:r>
      <w:r>
        <w:rPr>
          <w:rFonts w:asciiTheme="minorHAnsi" w:hAnsiTheme="minorHAnsi"/>
          <w:color w:val="808080"/>
          <w:sz w:val="18"/>
          <w:szCs w:val="18"/>
        </w:rPr>
        <w:t>.</w:t>
      </w:r>
    </w:p>
    <w:p w:rsidR="00873691" w:rsidRPr="00A76029" w:rsidRDefault="00873691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3: SKŁAD/INFORMACJA O SKŁADNIKACH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D408B9" w:rsidRPr="00A76029" w:rsidRDefault="00D408B9" w:rsidP="00D408B9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3.2 MIESZANINY</w:t>
      </w:r>
      <w:r w:rsidRPr="00A76029">
        <w:rPr>
          <w:rFonts w:asciiTheme="minorHAnsi" w:hAnsiTheme="minorHAnsi"/>
          <w:color w:val="808080"/>
          <w:sz w:val="18"/>
          <w:szCs w:val="18"/>
        </w:rPr>
        <w:tab/>
      </w:r>
    </w:p>
    <w:p w:rsidR="00D408B9" w:rsidRPr="00A76029" w:rsidRDefault="00D408B9" w:rsidP="00D408B9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  <w:t>Produkt jest mieszaniną; zawiera substancję klasyfikowaną jako niebezpieczną w myśl obowiązujących przepisów.</w:t>
      </w:r>
    </w:p>
    <w:p w:rsidR="00A76029" w:rsidRDefault="00A76029" w:rsidP="00DF0A10">
      <w:pPr>
        <w:rPr>
          <w:rFonts w:asciiTheme="minorHAnsi" w:hAnsiTheme="minorHAnsi"/>
          <w:b/>
          <w:bCs/>
          <w:color w:val="595959" w:themeColor="text1" w:themeTint="A6"/>
          <w:sz w:val="18"/>
          <w:szCs w:val="18"/>
        </w:rPr>
      </w:pPr>
    </w:p>
    <w:p w:rsidR="00DF0A10" w:rsidRPr="00A76029" w:rsidRDefault="0080744E" w:rsidP="00DF0A1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595959" w:themeColor="text1" w:themeTint="A6"/>
          <w:sz w:val="18"/>
          <w:szCs w:val="18"/>
        </w:rPr>
        <w:t xml:space="preserve">1) </w:t>
      </w:r>
      <w:r w:rsidR="00504E8E" w:rsidRPr="00504E8E">
        <w:rPr>
          <w:rFonts w:asciiTheme="minorHAnsi" w:hAnsiTheme="minorHAnsi"/>
          <w:b/>
          <w:bCs/>
          <w:color w:val="595959" w:themeColor="text1" w:themeTint="A6"/>
          <w:sz w:val="18"/>
          <w:szCs w:val="18"/>
        </w:rPr>
        <w:t>Cypermetryna (ISO)</w:t>
      </w:r>
      <w:r w:rsidR="00DF0A10"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>Zawartość:</w:t>
      </w:r>
      <w:r w:rsidR="00DF0A10"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</w:t>
      </w:r>
      <w:r w:rsidR="00504E8E">
        <w:rPr>
          <w:rFonts w:asciiTheme="minorHAnsi" w:hAnsiTheme="minorHAnsi"/>
          <w:bCs/>
          <w:color w:val="808080"/>
          <w:sz w:val="18"/>
          <w:szCs w:val="18"/>
        </w:rPr>
        <w:t>0,5% (m/m)</w:t>
      </w:r>
    </w:p>
    <w:p w:rsidR="00DF0A10" w:rsidRPr="00A76029" w:rsidRDefault="00DF0A10" w:rsidP="00704357">
      <w:pPr>
        <w:ind w:left="708" w:firstLine="708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Numer CAS/WE/indeksowy</w:t>
      </w:r>
      <w:r w:rsidR="00E36D18" w:rsidRPr="00A76029">
        <w:rPr>
          <w:rFonts w:asciiTheme="minorHAnsi" w:hAnsiTheme="minorHAnsi"/>
          <w:b/>
          <w:bCs/>
          <w:color w:val="808080"/>
          <w:sz w:val="18"/>
          <w:szCs w:val="18"/>
        </w:rPr>
        <w:t>/Rej. REACH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: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</w:t>
      </w:r>
      <w:r w:rsidR="00504E8E" w:rsidRPr="00504E8E">
        <w:rPr>
          <w:rFonts w:asciiTheme="minorHAnsi" w:hAnsiTheme="minorHAnsi"/>
          <w:bCs/>
          <w:color w:val="808080"/>
          <w:sz w:val="18"/>
          <w:szCs w:val="18"/>
        </w:rPr>
        <w:t>52315-07-8 / 257-842-9 / 607-421-00-4/Brak- substancja biobójcza</w:t>
      </w:r>
    </w:p>
    <w:p w:rsidR="0080744E" w:rsidRPr="00D16C84" w:rsidRDefault="00DF0A10" w:rsidP="00504E8E">
      <w:pPr>
        <w:rPr>
          <w:rFonts w:asciiTheme="minorHAnsi" w:hAnsiTheme="minorHAnsi"/>
          <w:bCs/>
          <w:color w:val="808080"/>
          <w:sz w:val="18"/>
          <w:szCs w:val="18"/>
          <w:lang w:val="en-GB"/>
        </w:rPr>
      </w:pPr>
      <w:r w:rsidRPr="00733795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Pr="00733795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D16C84">
        <w:rPr>
          <w:rFonts w:asciiTheme="minorHAnsi" w:hAnsiTheme="minorHAnsi"/>
          <w:b/>
          <w:bCs/>
          <w:color w:val="808080"/>
          <w:sz w:val="18"/>
          <w:szCs w:val="18"/>
          <w:lang w:val="en-GB"/>
        </w:rPr>
        <w:t>Klasyfikacja CLP</w:t>
      </w:r>
      <w:r w:rsidRPr="00D16C84">
        <w:rPr>
          <w:rFonts w:asciiTheme="minorHAnsi" w:hAnsiTheme="minorHAnsi"/>
          <w:bCs/>
          <w:color w:val="808080"/>
          <w:sz w:val="18"/>
          <w:szCs w:val="18"/>
          <w:lang w:val="en-GB"/>
        </w:rPr>
        <w:t xml:space="preserve">: </w:t>
      </w:r>
      <w:r w:rsidR="00504E8E" w:rsidRPr="00504E8E">
        <w:rPr>
          <w:rFonts w:asciiTheme="minorHAnsi" w:hAnsiTheme="minorHAnsi"/>
          <w:bCs/>
          <w:color w:val="808080"/>
          <w:sz w:val="18"/>
          <w:szCs w:val="18"/>
          <w:lang w:val="en-GB"/>
        </w:rPr>
        <w:t>Acute Tox. 4; Acute Tox</w:t>
      </w:r>
      <w:r w:rsidR="00504E8E">
        <w:rPr>
          <w:rFonts w:asciiTheme="minorHAnsi" w:hAnsiTheme="minorHAnsi"/>
          <w:bCs/>
          <w:color w:val="808080"/>
          <w:sz w:val="18"/>
          <w:szCs w:val="18"/>
          <w:lang w:val="en-GB"/>
        </w:rPr>
        <w:t xml:space="preserve">. 4; STOT SE 3; Aquatic Acute 1; </w:t>
      </w:r>
      <w:r w:rsidR="00504E8E" w:rsidRPr="00504E8E">
        <w:rPr>
          <w:rFonts w:asciiTheme="minorHAnsi" w:hAnsiTheme="minorHAnsi"/>
          <w:bCs/>
          <w:color w:val="808080"/>
          <w:sz w:val="18"/>
          <w:szCs w:val="18"/>
          <w:lang w:val="en-GB"/>
        </w:rPr>
        <w:t>Aquatic Chronic 1; H332; H302; H335; H400; H410</w:t>
      </w:r>
    </w:p>
    <w:p w:rsidR="00D408B9" w:rsidRPr="00733795" w:rsidRDefault="00D408B9" w:rsidP="00856578">
      <w:pPr>
        <w:rPr>
          <w:rFonts w:asciiTheme="minorHAnsi" w:hAnsiTheme="minorHAnsi"/>
          <w:b/>
          <w:bCs/>
          <w:color w:val="808080"/>
          <w:sz w:val="18"/>
          <w:szCs w:val="18"/>
          <w:lang w:val="en-GB"/>
        </w:rPr>
      </w:pPr>
      <w:r w:rsidRPr="00733795">
        <w:rPr>
          <w:rFonts w:asciiTheme="minorHAnsi" w:hAnsiTheme="minorHAnsi"/>
          <w:b/>
          <w:bCs/>
          <w:color w:val="808080"/>
          <w:sz w:val="18"/>
          <w:szCs w:val="18"/>
          <w:lang w:val="en-GB"/>
        </w:rPr>
        <w:tab/>
      </w:r>
    </w:p>
    <w:p w:rsidR="00504E8E" w:rsidRDefault="00D408B9" w:rsidP="00D408B9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Pozostałe składniki nie są klasyfikowane jako niebezpieczne lub nie spełniają kryteriów zawartości w mieszaninie. </w:t>
      </w:r>
    </w:p>
    <w:p w:rsidR="002C35EC" w:rsidRPr="00A76029" w:rsidRDefault="00D408B9" w:rsidP="00D408B9">
      <w:pPr>
        <w:jc w:val="center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Pełne znaczenie oznaczeń i zwrotów podano w sekcji 16</w:t>
      </w:r>
    </w:p>
    <w:p w:rsidR="00D408B9" w:rsidRPr="00A76029" w:rsidRDefault="00D408B9" w:rsidP="009C6755">
      <w:pPr>
        <w:rPr>
          <w:rFonts w:asciiTheme="minorHAnsi" w:hAnsiTheme="minorHAnsi"/>
          <w:b/>
          <w:color w:val="000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4: ŚRODKI PIERWSZEJ POMOCY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D408B9" w:rsidRPr="00A76029" w:rsidRDefault="00D408B9" w:rsidP="00D408B9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4.1. OPIS ŚRODKÓW PIERWSZEJ POMOCY</w:t>
      </w:r>
    </w:p>
    <w:p w:rsidR="00D408B9" w:rsidRPr="00A76029" w:rsidRDefault="00D408B9" w:rsidP="00D408B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Osobie udzielającej pomocy pokaż etykietę produktu lub </w:t>
      </w:r>
      <w:r w:rsidR="00DC4DBA" w:rsidRPr="00A76029">
        <w:rPr>
          <w:rFonts w:asciiTheme="minorHAnsi" w:hAnsiTheme="minorHAnsi"/>
          <w:color w:val="808080"/>
          <w:sz w:val="18"/>
          <w:szCs w:val="18"/>
        </w:rPr>
        <w:t xml:space="preserve">tą kartę charakterystyki. Osobę </w:t>
      </w:r>
      <w:r w:rsidRPr="00A76029">
        <w:rPr>
          <w:rFonts w:asciiTheme="minorHAnsi" w:hAnsiTheme="minorHAnsi"/>
          <w:color w:val="808080"/>
          <w:sz w:val="18"/>
          <w:szCs w:val="18"/>
        </w:rPr>
        <w:t>poszkodowaną zawsze wyprowadzić ze strefy zagrożenia. Niepr</w:t>
      </w:r>
      <w:r w:rsidR="00DC4DBA" w:rsidRPr="00A76029">
        <w:rPr>
          <w:rFonts w:asciiTheme="minorHAnsi" w:hAnsiTheme="minorHAnsi"/>
          <w:color w:val="808080"/>
          <w:sz w:val="18"/>
          <w:szCs w:val="18"/>
        </w:rPr>
        <w:t xml:space="preserve">zytomnej osobie nie podawać nic </w:t>
      </w:r>
      <w:r w:rsidRPr="00A76029">
        <w:rPr>
          <w:rFonts w:asciiTheme="minorHAnsi" w:hAnsiTheme="minorHAnsi"/>
          <w:color w:val="808080"/>
          <w:sz w:val="18"/>
          <w:szCs w:val="18"/>
        </w:rPr>
        <w:t>doustnie.</w:t>
      </w:r>
      <w:r w:rsidR="00DC4DBA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W przypadku kiedy poszkodowany jest skażony </w:t>
      </w:r>
      <w:r w:rsidR="00E2169B" w:rsidRPr="00A76029">
        <w:rPr>
          <w:rFonts w:asciiTheme="minorHAnsi" w:hAnsiTheme="minorHAnsi"/>
          <w:color w:val="808080"/>
          <w:sz w:val="18"/>
          <w:szCs w:val="18"/>
        </w:rPr>
        <w:t>mieszaniną</w:t>
      </w:r>
      <w:r w:rsidR="00667C0D" w:rsidRPr="00A76029">
        <w:rPr>
          <w:rFonts w:asciiTheme="minorHAnsi" w:hAnsiTheme="minorHAnsi"/>
          <w:color w:val="808080"/>
          <w:sz w:val="18"/>
          <w:szCs w:val="18"/>
        </w:rPr>
        <w:t xml:space="preserve">, zalecane jest wyposażenie </w:t>
      </w:r>
      <w:r w:rsidRPr="00A76029">
        <w:rPr>
          <w:rFonts w:asciiTheme="minorHAnsi" w:hAnsiTheme="minorHAnsi"/>
          <w:color w:val="808080"/>
          <w:sz w:val="18"/>
          <w:szCs w:val="18"/>
        </w:rPr>
        <w:t>ochronne w postaci maski do sztucznego oddychania, rękawiczek jednorazowych.</w:t>
      </w:r>
    </w:p>
    <w:p w:rsidR="00D408B9" w:rsidRPr="00A76029" w:rsidRDefault="00667C0D" w:rsidP="00D408B9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 xml:space="preserve">4.1.1. </w:t>
      </w:r>
      <w:r w:rsidR="00D408B9" w:rsidRPr="00A76029">
        <w:rPr>
          <w:rFonts w:asciiTheme="minorHAnsi" w:hAnsiTheme="minorHAnsi"/>
          <w:b/>
          <w:bCs/>
          <w:color w:val="808080"/>
          <w:sz w:val="18"/>
          <w:szCs w:val="18"/>
        </w:rPr>
        <w:t>NARAŻENIE POPRZEZ DROGI ODDECHOWE:</w:t>
      </w:r>
    </w:p>
    <w:p w:rsidR="00667C0D" w:rsidRPr="00A76029" w:rsidRDefault="00667C0D" w:rsidP="00667C0D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Poszkodowanego wyprowadzić na świeże powietrze, chronić przed utratą ciepła. Jeśli oddychanie jest utrudnione zastosować wspomaganie oddychania i natychmiast wezwać lekarza.</w:t>
      </w:r>
    </w:p>
    <w:p w:rsidR="00D408B9" w:rsidRPr="00A76029" w:rsidRDefault="00667C0D" w:rsidP="00D408B9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4.1.2. </w:t>
      </w:r>
      <w:r w:rsidR="00D408B9" w:rsidRPr="00A76029">
        <w:rPr>
          <w:rFonts w:asciiTheme="minorHAnsi" w:hAnsiTheme="minorHAnsi"/>
          <w:b/>
          <w:bCs/>
          <w:color w:val="808080"/>
          <w:sz w:val="18"/>
          <w:szCs w:val="18"/>
        </w:rPr>
        <w:t>NARAŻENIE OKA:</w:t>
      </w:r>
    </w:p>
    <w:p w:rsidR="00667C0D" w:rsidRPr="00A76029" w:rsidRDefault="00D408B9" w:rsidP="00D408B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="00667C0D" w:rsidRPr="00A76029">
        <w:rPr>
          <w:rFonts w:asciiTheme="minorHAnsi" w:hAnsiTheme="minorHAnsi"/>
          <w:color w:val="808080"/>
          <w:sz w:val="18"/>
          <w:szCs w:val="18"/>
        </w:rPr>
        <w:t>Poszkodowanego wyprowadzić ze strefy zagrożenia. Jeżeli to możliwe, usunąć szkła kontaktowe (jeżeli są stosowane). Następnie trzymać oczy otwarte i przemywać wolno i delikatnie wodą przez 15-20 minut. Niezwłocznie skonsultować się z lekarzem pokazując etykietę produktu lub tą kartę.</w:t>
      </w:r>
    </w:p>
    <w:p w:rsidR="00D408B9" w:rsidRPr="00A76029" w:rsidRDefault="00667C0D" w:rsidP="00D408B9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 xml:space="preserve">4.1.3. </w:t>
      </w:r>
      <w:r w:rsidR="00D408B9" w:rsidRPr="00A76029">
        <w:rPr>
          <w:rFonts w:asciiTheme="minorHAnsi" w:hAnsiTheme="minorHAnsi"/>
          <w:b/>
          <w:bCs/>
          <w:color w:val="808080"/>
          <w:sz w:val="18"/>
          <w:szCs w:val="18"/>
        </w:rPr>
        <w:t>NARAŻENIE SKÓRY:</w:t>
      </w:r>
    </w:p>
    <w:p w:rsidR="00667C0D" w:rsidRPr="00A76029" w:rsidRDefault="00D408B9" w:rsidP="00D408B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="00667C0D" w:rsidRPr="00A76029">
        <w:rPr>
          <w:rFonts w:asciiTheme="minorHAnsi" w:hAnsiTheme="minorHAnsi"/>
          <w:color w:val="808080"/>
          <w:sz w:val="18"/>
          <w:szCs w:val="18"/>
        </w:rPr>
        <w:t>Zdjąć zanieczyszczoną odzież. Umyć skórę dużą ilością wody z mydłem. W przypadku utrzymującego się podrażnienia skóry lub reakcji alergicznych udać się niezwłocznie do lekarza. Uprać skażone ubranie przed ponownym użyciem.</w:t>
      </w:r>
    </w:p>
    <w:p w:rsidR="00D408B9" w:rsidRPr="00A76029" w:rsidRDefault="00667C0D" w:rsidP="00D408B9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 xml:space="preserve">4.1.4. </w:t>
      </w:r>
      <w:r w:rsidR="00D408B9" w:rsidRPr="00A76029">
        <w:rPr>
          <w:rFonts w:asciiTheme="minorHAnsi" w:hAnsiTheme="minorHAnsi"/>
          <w:b/>
          <w:bCs/>
          <w:color w:val="808080"/>
          <w:sz w:val="18"/>
          <w:szCs w:val="18"/>
        </w:rPr>
        <w:t>NARAŻENIE POPRZEZ DROGĘ POKARMOWĄ:</w:t>
      </w:r>
    </w:p>
    <w:p w:rsidR="00D408B9" w:rsidRPr="00A76029" w:rsidRDefault="00D408B9" w:rsidP="00D408B9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="002D2144" w:rsidRPr="002D2144">
        <w:rPr>
          <w:rFonts w:asciiTheme="minorHAnsi" w:hAnsiTheme="minorHAnsi"/>
          <w:bCs/>
          <w:color w:val="808080"/>
          <w:sz w:val="18"/>
          <w:szCs w:val="18"/>
        </w:rPr>
        <w:t>Nie spożywać. Jeżeli jakakolwiek dolegliwość utrzymuje się, natychmiast skontaktować się z lekarzem. Nie wywoływać wymiotów bez konsultacji medycznej.</w:t>
      </w:r>
    </w:p>
    <w:p w:rsidR="00D408B9" w:rsidRPr="00A76029" w:rsidRDefault="00D408B9" w:rsidP="00D408B9">
      <w:pPr>
        <w:jc w:val="both"/>
        <w:rPr>
          <w:rFonts w:asciiTheme="minorHAnsi" w:hAnsiTheme="minorHAnsi"/>
          <w:b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4.2. NAJWAŻNIEJSZE OSTRE I OPÓŹNIONE OBJAWY ORAZ SKUTKI NARAŻENIA:</w:t>
      </w:r>
    </w:p>
    <w:p w:rsidR="00D408B9" w:rsidRPr="00A76029" w:rsidRDefault="00D408B9" w:rsidP="00D408B9">
      <w:pPr>
        <w:jc w:val="both"/>
        <w:rPr>
          <w:rFonts w:asciiTheme="minorHAnsi" w:hAnsiTheme="minorHAnsi"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="002D2144" w:rsidRPr="00AB59F4">
        <w:rPr>
          <w:rFonts w:asciiTheme="minorHAnsi" w:hAnsiTheme="minorHAnsi"/>
          <w:bCs/>
          <w:color w:val="808080"/>
          <w:sz w:val="18"/>
          <w:szCs w:val="18"/>
        </w:rPr>
        <w:t>Ze względu na zawartość cypermetryny  może powodować podrażnienie organów oddechowych.</w:t>
      </w:r>
      <w:r w:rsidR="002D2144">
        <w:rPr>
          <w:rFonts w:asciiTheme="minorHAnsi" w:hAnsiTheme="minorHAnsi"/>
          <w:bCs/>
          <w:color w:val="808080"/>
          <w:sz w:val="18"/>
          <w:szCs w:val="18"/>
        </w:rPr>
        <w:t xml:space="preserve"> Inne skutki nie są znane. </w:t>
      </w:r>
      <w:r w:rsidR="002D2144">
        <w:rPr>
          <w:rFonts w:asciiTheme="minorHAnsi" w:hAnsiTheme="minorHAnsi"/>
          <w:color w:val="808080"/>
          <w:sz w:val="18"/>
          <w:szCs w:val="18"/>
        </w:rPr>
        <w:t>Brak zaobserwowanych</w:t>
      </w:r>
      <w:r w:rsidR="002D2144" w:rsidRPr="00570355">
        <w:rPr>
          <w:rFonts w:asciiTheme="minorHAnsi" w:hAnsiTheme="minorHAnsi"/>
          <w:color w:val="808080"/>
          <w:sz w:val="18"/>
          <w:szCs w:val="18"/>
        </w:rPr>
        <w:t xml:space="preserve"> opóźnionych objawów narażenia.</w:t>
      </w:r>
    </w:p>
    <w:p w:rsidR="00D408B9" w:rsidRPr="00A76029" w:rsidRDefault="00D408B9" w:rsidP="00D408B9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</w:rPr>
        <w:t xml:space="preserve">4.3. WSKAZANIA DOTYCZĄCE WSZELKIEJ NATYCHMIASTOWEJ POMOCY LEKARSKIEJ I </w:t>
      </w: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</w:rPr>
        <w:tab/>
        <w:t>SZCZEGÓLNEGO POSTĘPOWANIA Z POSZKODOWANYM</w:t>
      </w:r>
    </w:p>
    <w:p w:rsidR="002C35EC" w:rsidRDefault="00667C0D" w:rsidP="00181C92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WSKAZÓWKI DLA OSÓB UDZIELAJĄCYCH PIERWSZEJ POMOCY: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70355" w:rsidRPr="00570355">
        <w:rPr>
          <w:rFonts w:asciiTheme="minorHAnsi" w:hAnsiTheme="minorHAnsi"/>
          <w:color w:val="808080"/>
          <w:sz w:val="18"/>
          <w:szCs w:val="18"/>
        </w:rPr>
        <w:t>Antidotum: brak. Stosować leczenie objawowe i wspomagające.</w:t>
      </w:r>
      <w:r w:rsidR="00181C92">
        <w:rPr>
          <w:rFonts w:asciiTheme="minorHAnsi" w:hAnsiTheme="minorHAnsi"/>
          <w:color w:val="808080"/>
          <w:sz w:val="18"/>
          <w:szCs w:val="18"/>
        </w:rPr>
        <w:t xml:space="preserve"> R</w:t>
      </w:r>
      <w:r w:rsidR="00F06BB6">
        <w:rPr>
          <w:rFonts w:asciiTheme="minorHAnsi" w:hAnsiTheme="minorHAnsi"/>
          <w:color w:val="808080"/>
          <w:sz w:val="18"/>
          <w:szCs w:val="18"/>
        </w:rPr>
        <w:t>ozważyć podanie węgla aktywnego.</w:t>
      </w:r>
    </w:p>
    <w:p w:rsidR="00570355" w:rsidRPr="00A76029" w:rsidRDefault="00570355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5: POSTĘPOWANIE W PRZYPADKU POŻARU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DC4DBA" w:rsidRPr="00A76029" w:rsidRDefault="00DC4DBA" w:rsidP="00DC4DB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5.1. ŚRODKI GAŚNICZE</w:t>
      </w:r>
    </w:p>
    <w:p w:rsidR="00DC4DBA" w:rsidRPr="00A76029" w:rsidRDefault="00DC4DBA" w:rsidP="00DC4DBA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  <w:u w:val="single"/>
        </w:rPr>
        <w:t>ZALECANE ŚRODKI GAŚNICZE: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rozpylona woda, proszek gaśniczy, piana, CO</w:t>
      </w:r>
      <w:r w:rsidRPr="00A76029">
        <w:rPr>
          <w:rFonts w:asciiTheme="minorHAnsi" w:hAnsiTheme="minorHAnsi"/>
          <w:color w:val="808080"/>
          <w:sz w:val="18"/>
          <w:szCs w:val="18"/>
          <w:vertAlign w:val="subscript"/>
        </w:rPr>
        <w:t>2</w:t>
      </w:r>
      <w:r w:rsidRPr="00A76029">
        <w:rPr>
          <w:rFonts w:asciiTheme="minorHAnsi" w:hAnsiTheme="minorHAnsi"/>
          <w:color w:val="808080"/>
          <w:sz w:val="18"/>
          <w:szCs w:val="18"/>
        </w:rPr>
        <w:t>.</w:t>
      </w:r>
    </w:p>
    <w:p w:rsidR="00DC4DBA" w:rsidRPr="00A76029" w:rsidRDefault="00DC4DBA" w:rsidP="00DC4DBA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  <w:u w:val="single"/>
        </w:rPr>
        <w:t>ZABRONIONE ŚRODKI GAŚNICZE: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zwarty strumień wody.</w:t>
      </w:r>
    </w:p>
    <w:p w:rsidR="00DC4DBA" w:rsidRPr="00A76029" w:rsidRDefault="00DC4DBA" w:rsidP="00DC4DB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5.2. SZCZEGÓLNE ZAGROŻENIA ZWIĄZANE Z</w:t>
      </w:r>
      <w:r w:rsidR="004678E5" w:rsidRPr="00A76029">
        <w:rPr>
          <w:rFonts w:asciiTheme="minorHAnsi" w:hAnsiTheme="minorHAnsi"/>
          <w:b/>
          <w:color w:val="808080"/>
          <w:sz w:val="18"/>
          <w:szCs w:val="18"/>
        </w:rPr>
        <w:t xml:space="preserve"> SUBSTANCJĄ LUB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MIESZANINĄ</w:t>
      </w:r>
    </w:p>
    <w:p w:rsidR="00667C0D" w:rsidRPr="00A76029" w:rsidRDefault="00DC4DBA" w:rsidP="00667C0D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  <w:u w:val="single"/>
        </w:rPr>
        <w:t>NIEBEZPIECZNE PRODUKTY ROZKŁADU: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70355" w:rsidRPr="00570355">
        <w:rPr>
          <w:rFonts w:asciiTheme="minorHAnsi" w:hAnsiTheme="minorHAnsi"/>
          <w:color w:val="808080"/>
          <w:sz w:val="18"/>
          <w:szCs w:val="18"/>
        </w:rPr>
        <w:t>tlenki węgla (COx), produkty niecałkowitego spalania.</w:t>
      </w:r>
    </w:p>
    <w:p w:rsidR="00DC4DBA" w:rsidRPr="00A76029" w:rsidRDefault="00DC4DBA" w:rsidP="00DC4DB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5.3. INFORMACJE DLA STRAŻY POŻARNEJ</w:t>
      </w:r>
    </w:p>
    <w:p w:rsidR="002C228B" w:rsidRPr="00A76029" w:rsidRDefault="002C228B" w:rsidP="002C228B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Zawsze stosować ubranie ochronne i aparaty oddechowe umożliwiające oddychanie niezależnie od skażonej atmosfery. Nie przebywać w strefie zagrożenia bez odpowiedniego ubrania i sprzętu ochronnego. Jeżeli została uży</w:t>
      </w:r>
      <w:r w:rsidR="00181C92">
        <w:rPr>
          <w:rFonts w:asciiTheme="minorHAnsi" w:hAnsiTheme="minorHAnsi"/>
          <w:color w:val="808080"/>
          <w:sz w:val="18"/>
          <w:szCs w:val="18"/>
        </w:rPr>
        <w:t xml:space="preserve">ta woda, unikać zrzutu odcieków </w:t>
      </w:r>
      <w:r w:rsidRPr="00A76029">
        <w:rPr>
          <w:rFonts w:asciiTheme="minorHAnsi" w:hAnsiTheme="minorHAnsi"/>
          <w:color w:val="808080"/>
          <w:sz w:val="18"/>
          <w:szCs w:val="18"/>
        </w:rPr>
        <w:t>do kanalizacji lub środowiska wodnego poprzez obwałowanie terenu i studzienek kanalizacyjnych.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6: POSTĘPOWANIE W PRZYPADKU NIEZAMIERZONEGO UWOLNIENIA DO ŚRODOWISKA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4678E5" w:rsidRPr="00A76029" w:rsidRDefault="00DC4DBA" w:rsidP="009F28E2">
      <w:pPr>
        <w:jc w:val="both"/>
        <w:rPr>
          <w:rFonts w:asciiTheme="minorHAnsi" w:hAnsiTheme="minorHAnsi"/>
          <w:b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6.1. INDYWIDUALNE ŚRODKI OSTROŻNOŚCI, WYPOSAŻENIE OCHRONNE I PROCEDURY W SYTUACJACH AWARYJNYCH</w:t>
      </w:r>
    </w:p>
    <w:p w:rsidR="002C228B" w:rsidRPr="00A76029" w:rsidRDefault="002C228B" w:rsidP="009F28E2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>6.1.1. Dla osób nienależących do personelu udzielającego pomocy</w:t>
      </w:r>
    </w:p>
    <w:p w:rsidR="002C228B" w:rsidRPr="00A76029" w:rsidRDefault="002C228B" w:rsidP="00E404A7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lastRenderedPageBreak/>
        <w:t xml:space="preserve">Unikać kontaktu preparatu z </w:t>
      </w:r>
      <w:r w:rsidR="00570355">
        <w:rPr>
          <w:rFonts w:asciiTheme="minorHAnsi" w:hAnsiTheme="minorHAnsi"/>
          <w:bCs/>
          <w:color w:val="808080"/>
          <w:sz w:val="18"/>
          <w:szCs w:val="18"/>
        </w:rPr>
        <w:t xml:space="preserve">nieosłoniętymi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oczami i skórą. Nie wdychać pyłu. Przystąpienie do usuwania uwolnionego produktu powinno być poprzedzone zapewnieniem skutecznej wentylacji lub założeniem środków indywidualnej ochrony</w:t>
      </w:r>
      <w:r w:rsidR="00E404A7"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o których mowa w sekcji 8 karty charakterystyki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.</w:t>
      </w:r>
    </w:p>
    <w:p w:rsidR="002C228B" w:rsidRPr="00A76029" w:rsidRDefault="002C228B" w:rsidP="002C228B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6.1.2. Dla osób udzielających pomocy</w:t>
      </w:r>
    </w:p>
    <w:p w:rsidR="002C228B" w:rsidRPr="00A76029" w:rsidRDefault="00E404A7" w:rsidP="00E404A7">
      <w:pPr>
        <w:ind w:firstLine="708"/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Osoby biorące udział przy likwidowaniu awarii wyposażyć w odzież ochronną, rękawice i maski całotwarzowe wymienione w sekcji 8 z zastosowaniem klasy ochrony adekwatnej do zagrożenia. Nie ma specjalnych zaleceń dotyczących materiałów z których ma być wykonane wyposażenie ochronne.</w:t>
      </w:r>
    </w:p>
    <w:p w:rsidR="00DC4DBA" w:rsidRPr="00A76029" w:rsidRDefault="00DC4DBA" w:rsidP="002C228B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6.2. ŚRODKI OSTROŻNOŚCI W ZAKRESIE OCHRONY ŚRODOWISKA</w:t>
      </w:r>
    </w:p>
    <w:p w:rsidR="00E404A7" w:rsidRPr="00A76029" w:rsidRDefault="00E404A7" w:rsidP="00E404A7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Nie podnosić pyłu. Rozważyć zebranie uwolnionego produktu do suchych opakowań zastępczych. Rozerwane opakowania umieścić w opakowaniach awaryjnych. Nie dopuścić do przedostania się produktu do kanalizacji, wód gruntowych i powierzchniowych poprzez obwałowanie terenu i studzienek kanalizacyjnych. W przypadku skażenia wód powiadomić służby ratunkowe.</w:t>
      </w:r>
    </w:p>
    <w:p w:rsidR="00DC4DBA" w:rsidRPr="00A76029" w:rsidRDefault="00DC4DBA" w:rsidP="00E404A7">
      <w:pPr>
        <w:jc w:val="both"/>
        <w:rPr>
          <w:rFonts w:asciiTheme="minorHAnsi" w:hAnsiTheme="minorHAnsi"/>
          <w:b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 xml:space="preserve">6.3. METODY I MATERIAŁY ZAPOBIEGAJĄCE ROZPRZESTRZENIANIU SIĘ SKAŻENIA I SŁUŻĄCE </w:t>
      </w:r>
      <w:r w:rsidR="009F28E2"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D</w:t>
      </w: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O USUWANIA SKAŻENIA</w:t>
      </w:r>
    </w:p>
    <w:p w:rsidR="00E404A7" w:rsidRPr="00A76029" w:rsidRDefault="00E404A7" w:rsidP="00E404A7">
      <w:pPr>
        <w:rPr>
          <w:rFonts w:ascii="Calibri" w:hAnsi="Calibr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bCs/>
          <w:color w:val="808080"/>
          <w:sz w:val="18"/>
          <w:szCs w:val="18"/>
        </w:rPr>
        <w:t>6.3.1. Zalecenia dotyczące zapobiegania rozprzestrzenianiu się wycieku</w:t>
      </w:r>
    </w:p>
    <w:p w:rsidR="00E404A7" w:rsidRPr="00A76029" w:rsidRDefault="00570355" w:rsidP="00A7553B">
      <w:pPr>
        <w:ind w:firstLine="708"/>
        <w:rPr>
          <w:rFonts w:ascii="Calibri" w:hAnsi="Calibri"/>
          <w:bCs/>
          <w:color w:val="808080"/>
          <w:sz w:val="18"/>
          <w:szCs w:val="18"/>
        </w:rPr>
      </w:pPr>
      <w:r>
        <w:rPr>
          <w:rFonts w:ascii="Calibri" w:hAnsi="Calibri"/>
          <w:bCs/>
          <w:color w:val="808080"/>
          <w:sz w:val="18"/>
          <w:szCs w:val="18"/>
        </w:rPr>
        <w:t>Obwałować uwolnioną mieszaninę</w:t>
      </w:r>
      <w:r w:rsidR="00E404A7" w:rsidRPr="00A76029">
        <w:rPr>
          <w:rFonts w:ascii="Calibri" w:hAnsi="Calibri"/>
          <w:bCs/>
          <w:color w:val="808080"/>
          <w:sz w:val="18"/>
          <w:szCs w:val="18"/>
        </w:rPr>
        <w:t xml:space="preserve">. Zabezpieczyć studzienki ściekowe/kanalizacyjne. </w:t>
      </w:r>
    </w:p>
    <w:p w:rsidR="00E404A7" w:rsidRPr="00A76029" w:rsidRDefault="00E404A7" w:rsidP="00E404A7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="Calibri" w:hAnsi="Calibri"/>
          <w:b/>
          <w:bCs/>
          <w:color w:val="808080"/>
          <w:sz w:val="18"/>
          <w:szCs w:val="18"/>
        </w:rPr>
        <w:t>6.3.2. Zalecenia dotyczące likwidacji wycieku</w:t>
      </w:r>
    </w:p>
    <w:p w:rsidR="00DC4DBA" w:rsidRPr="00A76029" w:rsidRDefault="00DC4DBA" w:rsidP="009F28E2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color w:val="808080"/>
          <w:sz w:val="18"/>
          <w:szCs w:val="18"/>
        </w:rPr>
        <w:t>Ograniczyć r</w:t>
      </w:r>
      <w:r w:rsidR="004E40A5">
        <w:rPr>
          <w:rFonts w:asciiTheme="minorHAnsi" w:hAnsiTheme="minorHAnsi"/>
          <w:color w:val="808080"/>
          <w:sz w:val="18"/>
          <w:szCs w:val="18"/>
        </w:rPr>
        <w:t>ozprzestrzenianie się produktu</w:t>
      </w:r>
      <w:r w:rsidR="00570355">
        <w:rPr>
          <w:rFonts w:asciiTheme="minorHAnsi" w:hAnsiTheme="minorHAnsi"/>
          <w:color w:val="808080"/>
          <w:sz w:val="18"/>
          <w:szCs w:val="18"/>
        </w:rPr>
        <w:t xml:space="preserve"> (np. roznoszenie obuwiem, opadanie przez szczeliny pomostów)</w:t>
      </w:r>
      <w:r w:rsidR="004E40A5">
        <w:rPr>
          <w:rFonts w:asciiTheme="minorHAnsi" w:hAnsiTheme="minorHAnsi"/>
          <w:color w:val="808080"/>
          <w:sz w:val="18"/>
          <w:szCs w:val="18"/>
        </w:rPr>
        <w:t xml:space="preserve">; </w:t>
      </w:r>
      <w:r w:rsidR="00570355">
        <w:rPr>
          <w:rFonts w:asciiTheme="minorHAnsi" w:hAnsiTheme="minorHAnsi"/>
          <w:color w:val="808080"/>
          <w:sz w:val="18"/>
          <w:szCs w:val="18"/>
        </w:rPr>
        <w:t>Ustalić i z</w:t>
      </w:r>
      <w:r w:rsidR="00FF669C" w:rsidRPr="00A76029">
        <w:rPr>
          <w:rFonts w:asciiTheme="minorHAnsi" w:hAnsiTheme="minorHAnsi"/>
          <w:color w:val="808080"/>
          <w:sz w:val="18"/>
          <w:szCs w:val="18"/>
        </w:rPr>
        <w:t xml:space="preserve">likwidować przyczynę </w:t>
      </w:r>
      <w:r w:rsidR="00E404A7" w:rsidRPr="00A76029">
        <w:rPr>
          <w:rFonts w:asciiTheme="minorHAnsi" w:hAnsiTheme="minorHAnsi"/>
          <w:color w:val="808080"/>
          <w:sz w:val="18"/>
          <w:szCs w:val="18"/>
        </w:rPr>
        <w:t>uwolnienia</w:t>
      </w:r>
      <w:r w:rsidRPr="00A76029">
        <w:rPr>
          <w:rFonts w:asciiTheme="minorHAnsi" w:hAnsiTheme="minorHAnsi"/>
          <w:color w:val="808080"/>
          <w:sz w:val="18"/>
          <w:szCs w:val="18"/>
        </w:rPr>
        <w:t>. Uszkodzone opakowanie umieścić w opakowaniu zastępczym. Resztę posypać sorbentem</w:t>
      </w:r>
      <w:r w:rsidR="00E404A7" w:rsidRPr="00A76029">
        <w:rPr>
          <w:rFonts w:asciiTheme="minorHAnsi" w:hAnsiTheme="minorHAnsi"/>
          <w:color w:val="808080"/>
          <w:sz w:val="18"/>
          <w:szCs w:val="18"/>
        </w:rPr>
        <w:t>, którym może być suchy piasek, ziemia, trociny, specjalne sorbenty do zbierania materiałów stałych, sypkich. Zalecana metoda zbierania: zamiatanie</w:t>
      </w:r>
      <w:r w:rsidR="00A7553B" w:rsidRPr="00A76029">
        <w:rPr>
          <w:rFonts w:asciiTheme="minorHAnsi" w:hAnsiTheme="minorHAnsi"/>
          <w:color w:val="808080"/>
          <w:sz w:val="18"/>
          <w:szCs w:val="18"/>
        </w:rPr>
        <w:t xml:space="preserve"> lub zasysanie.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Odpady przeznaczyć do utylizacji jako produkt niebezpieczny w</w:t>
      </w:r>
      <w:r w:rsidR="00FF669C" w:rsidRPr="00A76029">
        <w:rPr>
          <w:rFonts w:asciiTheme="minorHAnsi" w:hAnsiTheme="minorHAnsi"/>
          <w:color w:val="808080"/>
          <w:sz w:val="18"/>
          <w:szCs w:val="18"/>
        </w:rPr>
        <w:t xml:space="preserve"> porozumieniu ze specjalistami.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W przypadku </w:t>
      </w:r>
      <w:r w:rsidR="00FF669C" w:rsidRPr="00A76029">
        <w:rPr>
          <w:rFonts w:asciiTheme="minorHAnsi" w:hAnsiTheme="minorHAnsi"/>
          <w:color w:val="808080"/>
          <w:sz w:val="18"/>
          <w:szCs w:val="18"/>
        </w:rPr>
        <w:t xml:space="preserve">skażenia wód powiadomić służby </w:t>
      </w:r>
      <w:r w:rsidRPr="00A76029">
        <w:rPr>
          <w:rFonts w:asciiTheme="minorHAnsi" w:hAnsiTheme="minorHAnsi"/>
          <w:color w:val="808080"/>
          <w:sz w:val="18"/>
          <w:szCs w:val="18"/>
        </w:rPr>
        <w:t>ratunkowe.</w:t>
      </w:r>
    </w:p>
    <w:p w:rsidR="00DC4DBA" w:rsidRPr="00A76029" w:rsidRDefault="00DC4DBA" w:rsidP="00DC4DBA">
      <w:pPr>
        <w:rPr>
          <w:rFonts w:asciiTheme="minorHAnsi" w:hAnsiTheme="minorHAnsi"/>
          <w:b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6.4. ODNIESIENIA DO INNYCH SEKCJI</w:t>
      </w:r>
    </w:p>
    <w:p w:rsidR="00A7553B" w:rsidRPr="00A76029" w:rsidRDefault="00A7553B" w:rsidP="00A7553B">
      <w:pPr>
        <w:ind w:firstLine="708"/>
        <w:jc w:val="both"/>
        <w:rPr>
          <w:rFonts w:asciiTheme="minorHAnsi" w:hAnsiTheme="minorHAnsi"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iCs/>
          <w:color w:val="808080"/>
          <w:sz w:val="18"/>
          <w:szCs w:val="18"/>
        </w:rPr>
        <w:t>Zebraną mieszaninę z sorbentem utylizować jako odpad niebezpieczny zgodnie z informacjami zawartymi w sekcji 13. Parametry graniczne dotyczące kontroli na stanowisku pracy podano w sekcji 8.</w:t>
      </w:r>
    </w:p>
    <w:p w:rsidR="0088172C" w:rsidRPr="00A76029" w:rsidRDefault="0088172C" w:rsidP="009C6755">
      <w:pPr>
        <w:rPr>
          <w:rFonts w:asciiTheme="minorHAnsi" w:hAnsiTheme="minorHAnsi"/>
          <w:b/>
          <w:color w:val="000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7</w:t>
      </w:r>
      <w:r w:rsidR="00D42B47" w:rsidRPr="00A76029">
        <w:rPr>
          <w:rFonts w:asciiTheme="minorHAnsi" w:hAnsiTheme="minorHAnsi"/>
          <w:b/>
          <w:color w:val="004A9B"/>
          <w:sz w:val="18"/>
          <w:szCs w:val="18"/>
        </w:rPr>
        <w:t>: POSTĘPOWANIE Z SUBSTANCJAMI I MIESZANINAMI ORAZ ICH MAGAZYNOWANIE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9F28E2" w:rsidRPr="00A76029" w:rsidRDefault="009F28E2" w:rsidP="009F28E2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7.1. ŚRODKI OSTROŻNOŚCI DOTYCZĄCE BEZPIECZNEGO POSTĘPOWANIA</w:t>
      </w:r>
    </w:p>
    <w:p w:rsidR="00C5214D" w:rsidRPr="00A76029" w:rsidRDefault="00C5214D" w:rsidP="00C5214D">
      <w:pPr>
        <w:ind w:firstLine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Przestrzegać zasad higieny osobistej, stosować odzież i sprzęt ochronny. Nie jeść, nie pić na stanowisku pracy unikać narażenia na działanie pyłów produktu, oraz bezpośredniego kontaktu preparatu z oczami, skórą i ustami. Na dobę przed, w trakcie i na dobę po zastosowaniu środka nie wolno spożywać alkoholu pod jakąkolwiek postacią. Produkt stosować zgodnie z instrukcją na opakowaniu. Po skończonej bądź przerwanej pracy  zdjąć całą zanieczyszczoną odzież i umyć ręce wodą z mydłem</w:t>
      </w:r>
    </w:p>
    <w:p w:rsidR="009F28E2" w:rsidRPr="00A76029" w:rsidRDefault="009F28E2" w:rsidP="00C5214D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7.2. WARUNKI BEZPIECZNEGO MAGAZYNOWANIA, ŁĄCZ</w:t>
      </w:r>
      <w:r w:rsidR="00A7553B" w:rsidRPr="00A76029">
        <w:rPr>
          <w:rFonts w:asciiTheme="minorHAnsi" w:hAnsiTheme="minorHAnsi"/>
          <w:b/>
          <w:color w:val="808080"/>
          <w:sz w:val="18"/>
          <w:szCs w:val="18"/>
        </w:rPr>
        <w:t xml:space="preserve">NIE Z INFORMACJAMI DOTYCZĄCYMI 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>WSZELKICH WZAJEMNYCH NIEZGODNOŚCI</w:t>
      </w:r>
    </w:p>
    <w:p w:rsidR="00C5214D" w:rsidRPr="00A76029" w:rsidRDefault="00C5214D" w:rsidP="00C5214D">
      <w:pPr>
        <w:ind w:firstLine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Preparat należy przechowywać w szczelnie zamkniętych, oryginalnych opakowaniach, w suchych i przewiewnych m</w:t>
      </w:r>
      <w:r w:rsidR="00A76029">
        <w:rPr>
          <w:rFonts w:asciiTheme="minorHAnsi" w:hAnsiTheme="minorHAnsi"/>
          <w:color w:val="808080"/>
          <w:sz w:val="18"/>
          <w:szCs w:val="18"/>
        </w:rPr>
        <w:t>agazynach w temperaturze od 0</w:t>
      </w:r>
      <w:r w:rsidRPr="00A76029">
        <w:rPr>
          <w:rFonts w:asciiTheme="minorHAnsi" w:hAnsiTheme="minorHAnsi"/>
          <w:color w:val="808080"/>
          <w:sz w:val="18"/>
          <w:szCs w:val="18"/>
        </w:rPr>
        <w:t>˚C do 30˚C z dala od źródeł ciepła, otwartego ognia i materiałów zapalnych. Produkt nie może być składowany w pobliżu produktów spożywczych, pasz i naczyń na żywność. Należy składować go w miejscach niedostępnych dla dzieci i osób niepowołanych. Chronić przed wilgocią, nasłonecznieniem i przemarzaniem. Przestrzegać ogólnych zasad BHP i p.poż.</w:t>
      </w:r>
    </w:p>
    <w:p w:rsidR="009F28E2" w:rsidRPr="00A76029" w:rsidRDefault="009F28E2" w:rsidP="009F28E2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7.3. SZCZEGÓLNE ZASTOSOWANIE</w:t>
      </w:r>
      <w:r w:rsidR="00D42B47" w:rsidRPr="00A76029">
        <w:rPr>
          <w:rFonts w:asciiTheme="minorHAnsi" w:hAnsiTheme="minorHAnsi"/>
          <w:b/>
          <w:color w:val="808080"/>
          <w:sz w:val="18"/>
          <w:szCs w:val="18"/>
        </w:rPr>
        <w:t xml:space="preserve"> (-A)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KOŃCOWE</w:t>
      </w:r>
    </w:p>
    <w:p w:rsidR="00C5214D" w:rsidRPr="00A76029" w:rsidRDefault="009F28E2" w:rsidP="00C5214D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ab/>
      </w:r>
      <w:r w:rsidR="00733795">
        <w:rPr>
          <w:rFonts w:asciiTheme="minorHAnsi" w:hAnsiTheme="minorHAnsi"/>
          <w:color w:val="808080"/>
          <w:sz w:val="18"/>
          <w:szCs w:val="18"/>
        </w:rPr>
        <w:t>Produkt biobójczy</w:t>
      </w:r>
      <w:r w:rsidR="00C5214D" w:rsidRPr="00A76029">
        <w:rPr>
          <w:rFonts w:asciiTheme="minorHAnsi" w:hAnsiTheme="minorHAnsi"/>
          <w:color w:val="808080"/>
          <w:sz w:val="18"/>
          <w:szCs w:val="18"/>
        </w:rPr>
        <w:t>. Przestrzegać informacji zawartych w treści etykiety produktu.</w:t>
      </w:r>
    </w:p>
    <w:p w:rsidR="00C5214D" w:rsidRPr="00A76029" w:rsidRDefault="00C5214D" w:rsidP="00C5214D">
      <w:pPr>
        <w:jc w:val="both"/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C5214D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8: KONTROLA NARAŻENIA/ŚRODKI OCHRONY INDYWIDUALNEJ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 Parametry dotyczące kontroli</w:t>
      </w:r>
    </w:p>
    <w:p w:rsidR="00C5214D" w:rsidRPr="00A76029" w:rsidRDefault="00C5214D" w:rsidP="00C5214D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8.1.1. Najwyższe dopuszczalne stężenia w środowisku pracy</w:t>
      </w:r>
    </w:p>
    <w:p w:rsidR="00C66C8D" w:rsidRPr="00A76029" w:rsidRDefault="00C5214D" w:rsidP="00C5214D">
      <w:pPr>
        <w:ind w:firstLine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Poniższe wartości podano w oparciu o rozporządzenie Ministra Pracy i Polityki Społecznej w sprawie najwyższych dopuszczalnych stężeń i natężeń czynników szkodliwych dla zdrowia w środowisku pracy</w:t>
      </w:r>
    </w:p>
    <w:tbl>
      <w:tblPr>
        <w:tblW w:w="9475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2"/>
        <w:gridCol w:w="1205"/>
        <w:gridCol w:w="1346"/>
        <w:gridCol w:w="1276"/>
        <w:gridCol w:w="1276"/>
      </w:tblGrid>
      <w:tr w:rsidR="002C35EC" w:rsidRPr="00A76029" w:rsidTr="00336945">
        <w:trPr>
          <w:trHeight w:val="35"/>
          <w:jc w:val="center"/>
        </w:trPr>
        <w:tc>
          <w:tcPr>
            <w:tcW w:w="4372" w:type="dxa"/>
            <w:shd w:val="clear" w:color="auto" w:fill="004A9B"/>
            <w:vAlign w:val="center"/>
          </w:tcPr>
          <w:p w:rsidR="002C35EC" w:rsidRPr="00A76029" w:rsidRDefault="002C35EC" w:rsidP="00941886">
            <w:pP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Nazwa substancji chemicznej</w:t>
            </w:r>
          </w:p>
        </w:tc>
        <w:tc>
          <w:tcPr>
            <w:tcW w:w="1205" w:type="dxa"/>
            <w:shd w:val="clear" w:color="auto" w:fill="004A9B"/>
            <w:vAlign w:val="center"/>
          </w:tcPr>
          <w:p w:rsidR="002C35EC" w:rsidRPr="00A76029" w:rsidRDefault="002C35EC" w:rsidP="0094188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Nr CAS</w:t>
            </w:r>
          </w:p>
        </w:tc>
        <w:tc>
          <w:tcPr>
            <w:tcW w:w="1346" w:type="dxa"/>
            <w:shd w:val="clear" w:color="auto" w:fill="004A9B"/>
            <w:vAlign w:val="center"/>
          </w:tcPr>
          <w:p w:rsidR="002C35EC" w:rsidRPr="00A76029" w:rsidRDefault="002C35EC" w:rsidP="0094188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NDS, mg/m</w:t>
            </w: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004A9B"/>
            <w:vAlign w:val="center"/>
          </w:tcPr>
          <w:p w:rsidR="002C35EC" w:rsidRPr="00A76029" w:rsidRDefault="002C35EC" w:rsidP="0094188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NDSCh, mg/m</w:t>
            </w: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004A9B"/>
            <w:vAlign w:val="center"/>
          </w:tcPr>
          <w:p w:rsidR="002C35EC" w:rsidRPr="00A76029" w:rsidRDefault="002C35EC" w:rsidP="0094188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NDSP, mg/m</w:t>
            </w:r>
            <w:r w:rsidRPr="00A76029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</w:tr>
      <w:tr w:rsidR="002C35EC" w:rsidRPr="00A76029" w:rsidTr="00C5214D">
        <w:trPr>
          <w:trHeight w:val="172"/>
          <w:jc w:val="center"/>
        </w:trPr>
        <w:tc>
          <w:tcPr>
            <w:tcW w:w="4372" w:type="dxa"/>
            <w:shd w:val="clear" w:color="auto" w:fill="F3F3F3"/>
          </w:tcPr>
          <w:p w:rsidR="002C35EC" w:rsidRPr="00A76029" w:rsidRDefault="00C5214D" w:rsidP="00A57BFA">
            <w:pPr>
              <w:rPr>
                <w:rFonts w:asciiTheme="minorHAnsi" w:hAnsiTheme="minorHAnsi"/>
                <w:color w:val="808080"/>
                <w:sz w:val="16"/>
                <w:szCs w:val="16"/>
              </w:rPr>
            </w:pPr>
            <w:r w:rsidRPr="00A76029">
              <w:rPr>
                <w:rFonts w:asciiTheme="minorHAnsi" w:hAnsiTheme="minorHAnsi"/>
                <w:color w:val="808080"/>
                <w:sz w:val="16"/>
                <w:szCs w:val="16"/>
              </w:rPr>
              <w:t xml:space="preserve">1) </w:t>
            </w:r>
            <w:r w:rsidR="00A57BFA">
              <w:rPr>
                <w:rFonts w:asciiTheme="minorHAnsi" w:hAnsiTheme="minorHAnsi"/>
                <w:color w:val="808080"/>
                <w:sz w:val="16"/>
                <w:szCs w:val="16"/>
              </w:rPr>
              <w:t>Nie określono dla żadnego składnika mieszaniny</w:t>
            </w:r>
          </w:p>
        </w:tc>
        <w:tc>
          <w:tcPr>
            <w:tcW w:w="1205" w:type="dxa"/>
            <w:shd w:val="clear" w:color="auto" w:fill="F3F3F3"/>
            <w:vAlign w:val="center"/>
          </w:tcPr>
          <w:p w:rsidR="002C35EC" w:rsidRPr="00A76029" w:rsidRDefault="00A57BFA" w:rsidP="00197FAE">
            <w:pPr>
              <w:jc w:val="center"/>
              <w:rPr>
                <w:rFonts w:asciiTheme="minorHAnsi" w:hAnsiTheme="minorHAnsi"/>
                <w:color w:val="8080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/>
                <w:sz w:val="16"/>
                <w:szCs w:val="16"/>
              </w:rPr>
              <w:t>Brak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2C35EC" w:rsidRPr="00A76029" w:rsidRDefault="00A57BFA" w:rsidP="00941886">
            <w:pPr>
              <w:jc w:val="center"/>
              <w:rPr>
                <w:rFonts w:asciiTheme="minorHAnsi" w:hAnsiTheme="minorHAnsi"/>
                <w:color w:val="8080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/>
                <w:sz w:val="16"/>
                <w:szCs w:val="16"/>
              </w:rPr>
              <w:t>Brak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C35EC" w:rsidRPr="00A76029" w:rsidRDefault="00A57BFA" w:rsidP="009418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/>
                <w:sz w:val="16"/>
                <w:szCs w:val="16"/>
              </w:rPr>
              <w:t>Brak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C35EC" w:rsidRPr="00A76029" w:rsidRDefault="00A57BFA" w:rsidP="009418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/>
                <w:sz w:val="16"/>
                <w:szCs w:val="16"/>
              </w:rPr>
              <w:t>Brak</w:t>
            </w:r>
          </w:p>
        </w:tc>
      </w:tr>
    </w:tbl>
    <w:p w:rsidR="00336945" w:rsidRPr="00A76029" w:rsidRDefault="00336945" w:rsidP="0033694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Przepisy zobowiązują do konkretnych działań w zależności od relacji pomiędzy wynikiem pomiarów a wartościami dopuszczalnymi. Ryzyko określa się w następujący sposób:</w:t>
      </w:r>
    </w:p>
    <w:p w:rsidR="00336945" w:rsidRPr="00A76029" w:rsidRDefault="00336945" w:rsidP="0033694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-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Jeżeli wynik pomiaru jest większy niż wartość NDS wówczas ryzyko jest duże. Konieczne są działania naprawcze, które doprowadzą wyniki pomiarów do wartości dopuszczalnych. Jeżeli z przyczyn technologicznych nie jest to możliwe, to należy wprowadzić zmiany organizacyjne powodujące np. krótszy czas przebywania danego pracownika w narażeniu. Pomiary należy wykonywać raz w roku.</w:t>
      </w:r>
    </w:p>
    <w:p w:rsidR="00336945" w:rsidRPr="00A76029" w:rsidRDefault="00336945" w:rsidP="0033694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-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Jeżeli wynik pomiaru jest pomiędzy 0,5 NDS a 1,0 NDS, to ryzyko jest średnie. Konieczna jest zatem kontrola zagrożenia oraz podjęcie działań mających na celu eliminację możliwych niepożądanych skutków np. maski ochronne. Pomiary należy wykonywać raz w roku.</w:t>
      </w:r>
    </w:p>
    <w:p w:rsidR="00336945" w:rsidRPr="00A76029" w:rsidRDefault="00336945" w:rsidP="0033694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lastRenderedPageBreak/>
        <w:t>-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Jeżeli wynik pomiarów jest między 0,1 NDS a 0,5 NDS , to ryzyko jest małe i należy zagrożenie kontrolować, aby utrzymać co najmniej na tym samym poziomie. Pomiary należy wykonywać raz na dwa lata.</w:t>
      </w:r>
    </w:p>
    <w:p w:rsidR="00336945" w:rsidRPr="00A76029" w:rsidRDefault="00336945" w:rsidP="0033694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-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Jeżeli wynik pomiarów jest mniejszy od 0,1 NDS, to ryzyko jest akceptowalne i wskazana jest kontrola zagrożenia. Po dwukrotnych pomiarach, których wyniki są poniżej 0,1 NDS można nie wykonywać ponownych pomiarów do czasu zmiany warunków pracy w taki sposób, który może wpłynąć na poziom czynnika szkodliwego.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8.1.2. Poziomy DN(M)EL</w:t>
      </w:r>
    </w:p>
    <w:p w:rsidR="00FE6BA0" w:rsidRPr="00A76029" w:rsidRDefault="00FE6BA0" w:rsidP="00FE6BA0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Dane dla mieszaniny niedostępne.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8.1.2.1. Poziomy DN(M)EL dla pracowników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Dane </w:t>
      </w:r>
      <w:r w:rsidR="005E6C93" w:rsidRPr="00A76029">
        <w:rPr>
          <w:rFonts w:asciiTheme="minorHAnsi" w:hAnsiTheme="minorHAnsi"/>
          <w:color w:val="808080"/>
          <w:sz w:val="18"/>
          <w:szCs w:val="18"/>
        </w:rPr>
        <w:t xml:space="preserve">dla mieszaniny </w:t>
      </w:r>
      <w:r w:rsidRPr="00A76029">
        <w:rPr>
          <w:rFonts w:asciiTheme="minorHAnsi" w:hAnsiTheme="minorHAnsi"/>
          <w:color w:val="808080"/>
          <w:sz w:val="18"/>
          <w:szCs w:val="18"/>
        </w:rPr>
        <w:t>niedostępne.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8.1.2.2. Poziomy DNEL dla całej populacji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Dane dla mieszaniny niedostępne.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8.1.3. Poziomy PNEC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Dane dla mieszaniny niedostępne.</w:t>
      </w:r>
    </w:p>
    <w:p w:rsidR="00FF669C" w:rsidRPr="00A76029" w:rsidRDefault="00FF669C" w:rsidP="00FF669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8.2. KONTROLA NARAŻENIA</w:t>
      </w:r>
    </w:p>
    <w:p w:rsidR="005E6C93" w:rsidRPr="00A76029" w:rsidRDefault="005E6C93" w:rsidP="005E6C93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  <w:t>Niezbędne jest stosowanie wentylacji miejscowej wywiewnej oraz wentylacji ogólnej jeśli czynności wykonywane są w pomieszczeniu. W przypadku braku wentylacji koniecznie stosować środki ochrony indywidualnej bez względu na czas kontaktu z mieszaniną.</w:t>
      </w:r>
    </w:p>
    <w:p w:rsidR="005E6C93" w:rsidRPr="00A76029" w:rsidRDefault="005E6C93" w:rsidP="005E6C93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a) OCHRONA DRÓG ODDECHOWYCH:</w:t>
      </w:r>
    </w:p>
    <w:p w:rsidR="005E6C93" w:rsidRPr="00A76029" w:rsidRDefault="005E6C93" w:rsidP="005E6C93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W pomieszczeniach zamkniętych zapewnić sprawną wentylację. W razie konieczności zapewnić wyposażenie odpylające miejsce pracy. W warunkach braku odpowiedniej wentylacji lub nadmiernego zapylenia nosić środki ochrony dróg oddechowych w postaci półmaski lub maski całotwarzowej wykonane zgodnie z normą odpowiednio EN140 lub EN136 zaopatrzonej w filtr przeciwpyłowy typu P wykonane zgodnie z normą EN143, EN14387. Klasa wyposażenia powinna 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być adekwatna do stopnia zapylenia i czasu pracy.</w:t>
      </w:r>
    </w:p>
    <w:p w:rsidR="005E6C93" w:rsidRPr="00A76029" w:rsidRDefault="005E6C93" w:rsidP="005E6C93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b) OCHRONA RĄK:</w:t>
      </w:r>
    </w:p>
    <w:p w:rsidR="005E6C93" w:rsidRPr="00A76029" w:rsidRDefault="005E6C93" w:rsidP="005E6C93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="00A57BFA" w:rsidRPr="00A57BFA">
        <w:rPr>
          <w:rFonts w:asciiTheme="minorHAnsi" w:hAnsiTheme="minorHAnsi"/>
          <w:color w:val="808080"/>
          <w:sz w:val="18"/>
          <w:szCs w:val="18"/>
        </w:rPr>
        <w:t>W warunkach długotrwałego lub powtarzającego się narażenia nosić jednorazowe rękawice ochronne, odp</w:t>
      </w:r>
      <w:r w:rsidR="00A57BFA">
        <w:rPr>
          <w:rFonts w:asciiTheme="minorHAnsi" w:hAnsiTheme="minorHAnsi"/>
          <w:color w:val="808080"/>
          <w:sz w:val="18"/>
          <w:szCs w:val="18"/>
        </w:rPr>
        <w:t xml:space="preserve">owiadające kategorii I wg normy </w:t>
      </w:r>
      <w:r w:rsidR="00A57BFA" w:rsidRPr="00A57BFA">
        <w:rPr>
          <w:rFonts w:asciiTheme="minorHAnsi" w:hAnsiTheme="minorHAnsi"/>
          <w:color w:val="808080"/>
          <w:sz w:val="18"/>
          <w:szCs w:val="18"/>
        </w:rPr>
        <w:t>EN 420. Grubość</w:t>
      </w:r>
      <w:r w:rsidR="00A57BFA">
        <w:rPr>
          <w:rFonts w:asciiTheme="minorHAnsi" w:hAnsiTheme="minorHAnsi"/>
          <w:color w:val="808080"/>
          <w:sz w:val="18"/>
          <w:szCs w:val="18"/>
        </w:rPr>
        <w:t xml:space="preserve"> jest zależna od zastosowanego </w:t>
      </w:r>
      <w:r w:rsidR="00A57BFA" w:rsidRPr="00A57BFA">
        <w:rPr>
          <w:rFonts w:asciiTheme="minorHAnsi" w:hAnsiTheme="minorHAnsi"/>
          <w:color w:val="808080"/>
          <w:sz w:val="18"/>
          <w:szCs w:val="18"/>
        </w:rPr>
        <w:t>materiału którego producent nie narzuca. Każdorazowo po kontakcie ze środkiem umyć ręce wodą z mydłem.</w:t>
      </w:r>
    </w:p>
    <w:p w:rsidR="005E6C93" w:rsidRPr="00A76029" w:rsidRDefault="005E6C93" w:rsidP="005E6C93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c) OCHRONA OCZU:</w:t>
      </w:r>
    </w:p>
    <w:p w:rsidR="00A57BFA" w:rsidRDefault="00A57BFA" w:rsidP="005E6C93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57BFA">
        <w:rPr>
          <w:rFonts w:asciiTheme="minorHAnsi" w:hAnsiTheme="minorHAnsi"/>
          <w:bCs/>
          <w:color w:val="808080"/>
          <w:sz w:val="18"/>
          <w:szCs w:val="18"/>
        </w:rPr>
        <w:t>W warunkach długotrwałego lub powtarzającego się narażenia nosić okulary ochronne pyłoszczelne</w:t>
      </w:r>
      <w:r>
        <w:rPr>
          <w:rFonts w:asciiTheme="minorHAnsi" w:hAnsiTheme="minorHAnsi"/>
          <w:bCs/>
          <w:color w:val="808080"/>
          <w:sz w:val="18"/>
          <w:szCs w:val="18"/>
        </w:rPr>
        <w:t xml:space="preserve"> </w:t>
      </w:r>
      <w:r w:rsidRPr="00A57BFA">
        <w:rPr>
          <w:rFonts w:asciiTheme="minorHAnsi" w:hAnsiTheme="minorHAnsi"/>
          <w:bCs/>
          <w:color w:val="808080"/>
          <w:sz w:val="18"/>
          <w:szCs w:val="18"/>
        </w:rPr>
        <w:t xml:space="preserve">wykonane zgodnie z normą </w:t>
      </w:r>
      <w:r>
        <w:rPr>
          <w:rFonts w:asciiTheme="minorHAnsi" w:hAnsiTheme="minorHAnsi"/>
          <w:bCs/>
          <w:color w:val="808080"/>
          <w:sz w:val="18"/>
          <w:szCs w:val="18"/>
        </w:rPr>
        <w:br/>
      </w:r>
      <w:r w:rsidRPr="00A57BFA">
        <w:rPr>
          <w:rFonts w:asciiTheme="minorHAnsi" w:hAnsiTheme="minorHAnsi"/>
          <w:bCs/>
          <w:color w:val="808080"/>
          <w:sz w:val="18"/>
          <w:szCs w:val="18"/>
        </w:rPr>
        <w:t>EN 166 1-szej klasy optyczne</w:t>
      </w:r>
      <w:r>
        <w:rPr>
          <w:rFonts w:asciiTheme="minorHAnsi" w:hAnsiTheme="minorHAnsi"/>
          <w:bCs/>
          <w:color w:val="808080"/>
          <w:sz w:val="18"/>
          <w:szCs w:val="18"/>
        </w:rPr>
        <w:t xml:space="preserve">j. Okulary można zastąpić maską </w:t>
      </w:r>
      <w:r w:rsidRPr="00A57BFA">
        <w:rPr>
          <w:rFonts w:asciiTheme="minorHAnsi" w:hAnsiTheme="minorHAnsi"/>
          <w:bCs/>
          <w:color w:val="808080"/>
          <w:sz w:val="18"/>
          <w:szCs w:val="18"/>
        </w:rPr>
        <w:t>całotwarzową.</w:t>
      </w:r>
    </w:p>
    <w:p w:rsidR="005E6C93" w:rsidRPr="00A76029" w:rsidRDefault="005E6C93" w:rsidP="005E6C93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d) OCHRONA SKÓRY:</w:t>
      </w:r>
    </w:p>
    <w:p w:rsidR="00A57BFA" w:rsidRDefault="005E6C93" w:rsidP="00A57BF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="00A57BFA" w:rsidRPr="00A57BFA">
        <w:rPr>
          <w:rFonts w:asciiTheme="minorHAnsi" w:hAnsiTheme="minorHAnsi"/>
          <w:color w:val="808080"/>
          <w:sz w:val="18"/>
          <w:szCs w:val="18"/>
        </w:rPr>
        <w:t>W warunkach długotrwałego lub powtarzającego się narażenia zalecana jest nieprzenikliwa odzież ochronna: kombinezon lub fartuch I klasy ochrony wg normy EN139. Okres pomiędzy wymianą wyposażenia ochronnego ustalany jest indywidualnie.</w:t>
      </w:r>
    </w:p>
    <w:p w:rsidR="005E6C93" w:rsidRPr="00A76029" w:rsidRDefault="005E6C93" w:rsidP="00A57BFA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KONTROLA NARAŻENIA ŚRODOWISKA</w:t>
      </w:r>
    </w:p>
    <w:p w:rsidR="005E6C93" w:rsidRPr="00A76029" w:rsidRDefault="005E6C93" w:rsidP="005E6C93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  <w:t>Postępowanie zgodne z treścią etykiety produktu zapewnia spełnienie wymagań wynikających ze wspólnotowego prawodawstwa dotyczącego ochrony środowiska.</w:t>
      </w:r>
    </w:p>
    <w:p w:rsidR="00FF669C" w:rsidRPr="00A76029" w:rsidRDefault="00FF669C" w:rsidP="00FF669C">
      <w:pPr>
        <w:jc w:val="both"/>
        <w:rPr>
          <w:rFonts w:asciiTheme="minorHAnsi" w:hAnsiTheme="minorHAnsi"/>
          <w:iCs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9: WŁAŚCIWOŚCI FIZYCZNE I CHEMICZNE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8E4B63" w:rsidRPr="00A76029" w:rsidRDefault="008E4B63" w:rsidP="008E4B63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9.1. INFORMACJE NA TEMAT PODSTAWOWYCH WŁAŚCIWOŚCI FIZYCZNYCH I CHEMICZNYCH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>Wygląd: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ciało stałe o konsystencji granul, koloru - zależnie od użytego barwnika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Zapach: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praktycznie bez zapachu.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Próg zapachu: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 rejestracji i wprowadzania produktu biobójczego do obrotu.</w:t>
      </w:r>
    </w:p>
    <w:p w:rsidR="00530C5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>pH 1% zawiesiny: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 xml:space="preserve">nie prowadzono badań własnych mieszaniny, badania nie były wymagane na etapie 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rejestracji i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wprowadzania produktu biobójczego do obrotu.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>Temperatura topnienia/krzepnięcia: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wymagane na etapie rejestracji i wprowadzania produktu biobójczego do obrotu. Cypermetryna: 41,2</w:t>
      </w:r>
      <w:r w:rsidR="00530C59" w:rsidRPr="00530C59">
        <w:rPr>
          <w:rFonts w:asciiTheme="minorHAnsi" w:hAnsiTheme="minorHAnsi"/>
          <w:color w:val="808080"/>
          <w:sz w:val="18"/>
          <w:szCs w:val="18"/>
          <w:vertAlign w:val="superscript"/>
        </w:rPr>
        <w:t>o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C.</w:t>
      </w:r>
    </w:p>
    <w:p w:rsidR="009F1A2D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Początkowa temperatura wrzenia i zakres temperatur wrzenia: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mieszaniny, badania nie były wymagane na etapie rejestracji i wprowadzania produktu biobójczego do obrotu.</w:t>
      </w:r>
    </w:p>
    <w:p w:rsidR="00530C59" w:rsidRDefault="005E6C93" w:rsidP="00530C59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Temperatura zapłonu: 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ab/>
        <w:t>mieszaniny, badania nie były wymagane na etapie rejestracji i wprowadzania produktu biobójczego do obrotu.</w:t>
      </w:r>
    </w:p>
    <w:p w:rsidR="005E6C93" w:rsidRPr="00A76029" w:rsidRDefault="005E6C93" w:rsidP="00530C59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Szybkość parowania: </w:t>
      </w:r>
      <w:r w:rsidRPr="00A76029">
        <w:rPr>
          <w:rFonts w:asciiTheme="minorHAnsi" w:hAnsiTheme="minorHAnsi"/>
          <w:color w:val="808080"/>
          <w:sz w:val="18"/>
          <w:szCs w:val="18"/>
        </w:rPr>
        <w:t>nie dotyczy, ciało stałe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Palność: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 rejestracji i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ab/>
        <w:t>wprowadzania produktu biobójczego do obrotu. Żaden ze składników nie jest klasyfikowany jako palny.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Górna/dolna granica wybuchowości: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ymagane na etapie rejestracji i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 xml:space="preserve">wprowadzania produktu biobójczego do obrotu. Żaden ze składników nie jest klasyfikowany jako </w:t>
      </w:r>
      <w:r w:rsidR="00530C59">
        <w:rPr>
          <w:rFonts w:asciiTheme="minorHAnsi" w:hAnsiTheme="minorHAnsi"/>
          <w:color w:val="808080"/>
          <w:sz w:val="18"/>
          <w:szCs w:val="18"/>
        </w:rPr>
        <w:t>wybuchowy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Prężność par: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pomijalna w temp. 25˚C, ciało stałe. Cypermetryna: 0.00023 mPa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Gęstość par: </w:t>
      </w:r>
      <w:r w:rsidRPr="00A76029">
        <w:rPr>
          <w:rFonts w:asciiTheme="minorHAnsi" w:hAnsiTheme="minorHAnsi"/>
          <w:color w:val="808080"/>
          <w:sz w:val="18"/>
          <w:szCs w:val="18"/>
        </w:rPr>
        <w:t>nie dotyczy, ciało stałe.</w:t>
      </w:r>
    </w:p>
    <w:p w:rsidR="00530C59" w:rsidRDefault="005E6C93" w:rsidP="009F1A2D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lastRenderedPageBreak/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Gęstość względna: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rejestracji i wprowadzania produktu biobójczego do obrotu. Gęstość nasypowa ok. 0,8 g/cm3.</w:t>
      </w:r>
    </w:p>
    <w:p w:rsidR="00530C59" w:rsidRDefault="005E6C93" w:rsidP="009F1A2D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Rozpuszczalność: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Częściowo rozpuszczalny w wodzie.</w:t>
      </w:r>
    </w:p>
    <w:p w:rsidR="005E6C93" w:rsidRPr="00A76029" w:rsidRDefault="005E6C93" w:rsidP="009F1A2D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Współczynnik podziału oktanol-woda (pH 7), 20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  <w:vertAlign w:val="superscript"/>
        </w:rPr>
        <w:t>o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C: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</w:t>
      </w:r>
      <w:r w:rsidR="00530C59">
        <w:rPr>
          <w:rFonts w:asciiTheme="minorHAnsi" w:hAnsiTheme="minorHAnsi"/>
          <w:color w:val="808080"/>
          <w:sz w:val="18"/>
          <w:szCs w:val="18"/>
        </w:rPr>
        <w:t>zono badań własnych mieszaniny,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badania nie były wymagane na etapie rejestracji i wprowadzania pr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oduktu biobójczego do obrotu.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Cypermetryna: P=2.00 X 1005, log P=5,3.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Temperatura samozapłonu: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ab/>
        <w:t>etapie rejestracji i wprowadzania produktu biobójczego do obrotu. Cypermetryna: 400</w:t>
      </w:r>
      <w:r w:rsidR="00530C59" w:rsidRPr="00530C59">
        <w:rPr>
          <w:rFonts w:asciiTheme="minorHAnsi" w:hAnsiTheme="minorHAnsi"/>
          <w:color w:val="808080"/>
          <w:sz w:val="18"/>
          <w:szCs w:val="18"/>
          <w:vertAlign w:val="superscript"/>
        </w:rPr>
        <w:t>o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C.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Temperatura rozkładu: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rejestracji i wprowadzania produktu biobójczego do obrotu.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Lepkość: </w:t>
      </w:r>
      <w:r w:rsidRPr="00A76029">
        <w:rPr>
          <w:rFonts w:asciiTheme="minorHAnsi" w:hAnsiTheme="minorHAnsi"/>
          <w:color w:val="808080"/>
          <w:sz w:val="18"/>
          <w:szCs w:val="18"/>
        </w:rPr>
        <w:t>nie dotyczy, ciało stałe</w:t>
      </w:r>
    </w:p>
    <w:p w:rsidR="005E6C93" w:rsidRPr="00A76029" w:rsidRDefault="005E6C93" w:rsidP="005E6C9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Właściwości wybuchowe: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rejestracji i wprowadzania produktu biobójczego do obrotu. Żaden ze składników nie posiada właściwości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wybuchowych</w:t>
      </w:r>
    </w:p>
    <w:p w:rsidR="008E4B63" w:rsidRPr="00A76029" w:rsidRDefault="005E6C93" w:rsidP="008E4B63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ab/>
        <w:t xml:space="preserve">Właściwości utleniające: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 rejestracji i wprowadzania produktu biobójczego do obrotu. Żaden ze skła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dników nie posiada właściwości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utleniających.</w:t>
      </w:r>
      <w:r w:rsidR="008E4B63" w:rsidRPr="00A76029">
        <w:rPr>
          <w:rFonts w:asciiTheme="minorHAnsi" w:hAnsiTheme="minorHAnsi"/>
          <w:color w:val="808080"/>
          <w:sz w:val="18"/>
          <w:szCs w:val="18"/>
        </w:rPr>
        <w:tab/>
      </w:r>
    </w:p>
    <w:p w:rsidR="008E4B63" w:rsidRPr="00A76029" w:rsidRDefault="008E4B63" w:rsidP="008E4B63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9.2. INNE INFORMACJE</w:t>
      </w:r>
    </w:p>
    <w:p w:rsidR="0093311A" w:rsidRPr="00A76029" w:rsidRDefault="00530C59" w:rsidP="009F1A2D">
      <w:pPr>
        <w:ind w:firstLine="708"/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t>Brak</w:t>
      </w:r>
      <w:r w:rsidR="009F1A2D" w:rsidRPr="00A76029">
        <w:rPr>
          <w:rFonts w:asciiTheme="minorHAnsi" w:hAnsiTheme="minorHAnsi"/>
          <w:color w:val="808080"/>
          <w:sz w:val="18"/>
          <w:szCs w:val="18"/>
        </w:rPr>
        <w:t>.</w:t>
      </w:r>
    </w:p>
    <w:p w:rsidR="009F1A2D" w:rsidRPr="00A76029" w:rsidRDefault="009F1A2D" w:rsidP="009F1A2D">
      <w:pPr>
        <w:ind w:firstLine="708"/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10: STABILNOŚĆ I REAKTYWNOŚĆ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93311A" w:rsidRPr="00A76029" w:rsidRDefault="0093311A" w:rsidP="0093311A">
      <w:pPr>
        <w:tabs>
          <w:tab w:val="left" w:pos="3100"/>
        </w:tabs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10.1. REAKTYWNOŚĆ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="00530C59">
        <w:rPr>
          <w:rFonts w:asciiTheme="minorHAnsi" w:hAnsiTheme="minorHAnsi"/>
          <w:color w:val="808080"/>
          <w:sz w:val="18"/>
          <w:szCs w:val="18"/>
        </w:rPr>
        <w:t>Nie jest znana.</w:t>
      </w:r>
    </w:p>
    <w:p w:rsidR="0093311A" w:rsidRPr="00A76029" w:rsidRDefault="0093311A" w:rsidP="0093311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10.2. STABILNOŚĆ CHEMICZNA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Produkt stabilny w normalnych warunkach.</w:t>
      </w:r>
    </w:p>
    <w:p w:rsidR="0093311A" w:rsidRPr="00A76029" w:rsidRDefault="0093311A" w:rsidP="0093311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10.3. MOŻLIWOŚĆ WYSTĘPOWANIA NIEBEZPIECZNYCH REAKCJI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Nie są znane</w:t>
      </w:r>
      <w:r w:rsidR="00530C59">
        <w:rPr>
          <w:rFonts w:asciiTheme="minorHAnsi" w:hAnsiTheme="minorHAnsi"/>
          <w:color w:val="808080"/>
          <w:sz w:val="18"/>
          <w:szCs w:val="18"/>
        </w:rPr>
        <w:t xml:space="preserve"> w trakcie normalnego składowania i użycia</w:t>
      </w:r>
      <w:r w:rsidRPr="00A76029">
        <w:rPr>
          <w:rFonts w:asciiTheme="minorHAnsi" w:hAnsiTheme="minorHAnsi"/>
          <w:color w:val="808080"/>
          <w:sz w:val="18"/>
          <w:szCs w:val="18"/>
        </w:rPr>
        <w:t>.</w:t>
      </w:r>
    </w:p>
    <w:p w:rsidR="0093311A" w:rsidRPr="00A76029" w:rsidRDefault="0093311A" w:rsidP="0093311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10.4. WARUNKI, KTÓRYCH NALEŻY UNIKAĆ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Wilgoć, podwyższona temperatura, nadmierne nasłonecznienie, otwarty ogień.</w:t>
      </w:r>
    </w:p>
    <w:p w:rsidR="0093311A" w:rsidRPr="00A76029" w:rsidRDefault="0093311A" w:rsidP="0093311A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10.5. MATERIAŁY NIEZGODNE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="00530C59">
        <w:rPr>
          <w:rFonts w:asciiTheme="minorHAnsi" w:hAnsiTheme="minorHAnsi"/>
          <w:color w:val="808080"/>
          <w:sz w:val="18"/>
          <w:szCs w:val="18"/>
        </w:rPr>
        <w:t>Silne utleniacze.</w:t>
      </w:r>
    </w:p>
    <w:p w:rsidR="002C35EC" w:rsidRDefault="0093311A" w:rsidP="009C6755">
      <w:pPr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10.6. NIEBEZPIECZNE PRODUKTY ROZKŁADU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 </w:t>
      </w:r>
      <w:r w:rsidR="00530C59" w:rsidRPr="00530C59">
        <w:rPr>
          <w:rFonts w:asciiTheme="minorHAnsi" w:hAnsiTheme="minorHAnsi"/>
          <w:color w:val="808080"/>
          <w:sz w:val="18"/>
          <w:szCs w:val="18"/>
        </w:rPr>
        <w:t>Rozkład termiczny: tlenki węgla (COx), produkty niecałkowitego spalania.</w:t>
      </w:r>
    </w:p>
    <w:p w:rsidR="00530C59" w:rsidRPr="00A76029" w:rsidRDefault="00530C59" w:rsidP="009C6755">
      <w:pPr>
        <w:rPr>
          <w:rFonts w:asciiTheme="minorHAnsi" w:hAnsiTheme="minorHAnsi"/>
          <w:b/>
          <w:color w:val="000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11: INFORMACJE TOKSYKOLOGICZNE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C35EC" w:rsidRDefault="002C35EC" w:rsidP="009C6755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11.1.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Informacje dotyczące skutków toksykologicznych </w:t>
      </w:r>
    </w:p>
    <w:p w:rsidR="00530C59" w:rsidRPr="00AB59F4" w:rsidRDefault="00530C59" w:rsidP="009C6755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B59F4">
        <w:rPr>
          <w:rFonts w:asciiTheme="minorHAnsi" w:hAnsiTheme="minorHAnsi"/>
          <w:bCs/>
          <w:color w:val="808080"/>
          <w:sz w:val="18"/>
          <w:szCs w:val="18"/>
        </w:rPr>
        <w:t>Nie prowadzono badań własnych mieszaniny, badania nie były wymagane na etapie rejestracji i wprowadzania produktu biobójczego do obrotu.</w:t>
      </w:r>
    </w:p>
    <w:p w:rsidR="002C35EC" w:rsidRPr="00AB59F4" w:rsidRDefault="002C35EC" w:rsidP="009C6755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B59F4">
        <w:rPr>
          <w:rFonts w:asciiTheme="minorHAnsi" w:hAnsiTheme="minorHAnsi"/>
          <w:b/>
          <w:color w:val="808080"/>
          <w:sz w:val="18"/>
          <w:szCs w:val="18"/>
        </w:rPr>
        <w:t>11.1.1. Toksyczność ostra</w:t>
      </w:r>
    </w:p>
    <w:p w:rsidR="00530C59" w:rsidRPr="00AB59F4" w:rsidRDefault="00530C59" w:rsidP="00530C5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 xml:space="preserve">Toksyczność ostra: </w:t>
      </w:r>
      <w:r w:rsidRPr="00AB59F4">
        <w:rPr>
          <w:rFonts w:asciiTheme="minorHAnsi" w:hAnsiTheme="minorHAnsi"/>
          <w:color w:val="808080"/>
          <w:sz w:val="18"/>
          <w:szCs w:val="18"/>
        </w:rPr>
        <w:tab/>
      </w:r>
      <w:r w:rsidRPr="00AB59F4">
        <w:rPr>
          <w:rFonts w:asciiTheme="minorHAnsi" w:hAnsiTheme="minorHAnsi"/>
          <w:color w:val="808080"/>
          <w:sz w:val="18"/>
          <w:szCs w:val="18"/>
        </w:rPr>
        <w:tab/>
        <w:t>LC50 (inhalacyjnie, szczur) = 3.28 mg/L (cypermetryna)</w:t>
      </w:r>
    </w:p>
    <w:p w:rsidR="00530C59" w:rsidRPr="00AB59F4" w:rsidRDefault="00530C59" w:rsidP="00530C5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ab/>
      </w:r>
      <w:r w:rsidRPr="00AB59F4">
        <w:rPr>
          <w:rFonts w:asciiTheme="minorHAnsi" w:hAnsiTheme="minorHAnsi"/>
          <w:color w:val="808080"/>
          <w:sz w:val="18"/>
          <w:szCs w:val="18"/>
        </w:rPr>
        <w:tab/>
      </w:r>
      <w:r w:rsidRPr="00AB59F4">
        <w:rPr>
          <w:rFonts w:asciiTheme="minorHAnsi" w:hAnsiTheme="minorHAnsi"/>
          <w:color w:val="808080"/>
          <w:sz w:val="18"/>
          <w:szCs w:val="18"/>
        </w:rPr>
        <w:tab/>
        <w:t>LD50 (doustnie, szczur) = 287 mg / kg m.c. (cypermetryna)</w:t>
      </w:r>
    </w:p>
    <w:p w:rsidR="00AB59F4" w:rsidRPr="00AB59F4" w:rsidRDefault="00530C59" w:rsidP="00530C5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ab/>
      </w:r>
      <w:r w:rsidRPr="00AB59F4">
        <w:rPr>
          <w:rFonts w:asciiTheme="minorHAnsi" w:hAnsiTheme="minorHAnsi"/>
          <w:color w:val="808080"/>
          <w:sz w:val="18"/>
          <w:szCs w:val="18"/>
        </w:rPr>
        <w:tab/>
      </w:r>
      <w:r w:rsidRPr="00AB59F4">
        <w:rPr>
          <w:rFonts w:asciiTheme="minorHAnsi" w:hAnsiTheme="minorHAnsi"/>
          <w:color w:val="808080"/>
          <w:sz w:val="18"/>
          <w:szCs w:val="18"/>
        </w:rPr>
        <w:tab/>
        <w:t>LD50 (dermalnie, szczur) &gt; 2000 mg / kg m.c. (cypermetryna)</w:t>
      </w:r>
    </w:p>
    <w:p w:rsidR="00AB59F4" w:rsidRPr="00AB59F4" w:rsidRDefault="00AB59F4" w:rsidP="00530C59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 xml:space="preserve">Cypermetryna została sklasyfikowana jako działająca szkodliwie po połknięciu i przez drogi oddechowe. </w:t>
      </w:r>
      <w:r>
        <w:rPr>
          <w:rFonts w:asciiTheme="minorHAnsi" w:hAnsiTheme="minorHAnsi"/>
          <w:color w:val="808080"/>
          <w:sz w:val="18"/>
          <w:szCs w:val="18"/>
        </w:rPr>
        <w:t>Mieszanina</w:t>
      </w:r>
      <w:r w:rsidRPr="00AB59F4">
        <w:rPr>
          <w:rFonts w:asciiTheme="minorHAnsi" w:hAnsiTheme="minorHAnsi"/>
          <w:color w:val="808080"/>
          <w:sz w:val="18"/>
          <w:szCs w:val="18"/>
        </w:rPr>
        <w:t xml:space="preserve"> na podstawie zawartości składników nie jest klasyfikowan</w:t>
      </w:r>
      <w:r w:rsidR="00181C92">
        <w:rPr>
          <w:rFonts w:asciiTheme="minorHAnsi" w:hAnsiTheme="minorHAnsi"/>
          <w:color w:val="808080"/>
          <w:sz w:val="18"/>
          <w:szCs w:val="18"/>
        </w:rPr>
        <w:t>a</w:t>
      </w:r>
      <w:r w:rsidRPr="00AB59F4">
        <w:rPr>
          <w:rFonts w:asciiTheme="minorHAnsi" w:hAnsiTheme="minorHAnsi"/>
          <w:color w:val="808080"/>
          <w:sz w:val="18"/>
          <w:szCs w:val="18"/>
        </w:rPr>
        <w:t xml:space="preserve"> w ramach toksyczności ostrej.</w:t>
      </w:r>
    </w:p>
    <w:p w:rsidR="0093311A" w:rsidRPr="00A76029" w:rsidRDefault="00F8756E" w:rsidP="00530C59">
      <w:pPr>
        <w:jc w:val="both"/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11.1.2. </w:t>
      </w:r>
      <w:r w:rsidR="0093311A"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Działanie drażniące:</w:t>
      </w:r>
    </w:p>
    <w:p w:rsidR="00AB59F4" w:rsidRDefault="00AB59F4" w:rsidP="0093311A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B59F4">
        <w:rPr>
          <w:rFonts w:asciiTheme="minorHAnsi" w:hAnsiTheme="minorHAnsi"/>
          <w:bCs/>
          <w:color w:val="808080"/>
          <w:sz w:val="18"/>
          <w:szCs w:val="18"/>
        </w:rPr>
        <w:t>Nie prowadzono badań własnych mieszaniny, badania nie były wymagane na etapie rejestracji i wprowadzania produktu biobójczego do obrotu. Cypermetryna została sklasyfikowana jako drażniąca na drogi oddechowe.</w:t>
      </w:r>
      <w:r>
        <w:rPr>
          <w:rFonts w:asciiTheme="minorHAnsi" w:hAnsiTheme="minorHAnsi"/>
          <w:bCs/>
          <w:color w:val="808080"/>
          <w:sz w:val="18"/>
          <w:szCs w:val="18"/>
        </w:rPr>
        <w:t xml:space="preserve"> Mieszanina nie klasyfikowana na podstawie zawartości składników.</w:t>
      </w:r>
    </w:p>
    <w:p w:rsidR="0093311A" w:rsidRPr="00A76029" w:rsidRDefault="0093311A" w:rsidP="0093311A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11.1.</w:t>
      </w:r>
      <w:r w:rsidR="00F8756E" w:rsidRPr="00A76029">
        <w:rPr>
          <w:rFonts w:asciiTheme="minorHAnsi" w:hAnsiTheme="minorHAnsi"/>
          <w:b/>
          <w:color w:val="808080"/>
          <w:sz w:val="18"/>
          <w:szCs w:val="18"/>
        </w:rPr>
        <w:t>3</w:t>
      </w:r>
      <w:r w:rsidRPr="00A76029">
        <w:rPr>
          <w:rFonts w:asciiTheme="minorHAnsi" w:hAnsiTheme="minorHAnsi"/>
          <w:b/>
          <w:color w:val="808080"/>
          <w:sz w:val="18"/>
          <w:szCs w:val="18"/>
        </w:rPr>
        <w:t>. Działanie żrące</w:t>
      </w:r>
    </w:p>
    <w:p w:rsidR="00AB59F4" w:rsidRDefault="00AB59F4" w:rsidP="00F8756E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>Nie prowadzono badań własnych dla mieszaniny, badania nie były wymagane na etapie rejestracji i wprowadzania produktu do obrotu. Żaden ze składników preparatu nie został sklasyfikowany jako żrący.</w:t>
      </w:r>
    </w:p>
    <w:p w:rsidR="00F8756E" w:rsidRPr="00A76029" w:rsidRDefault="00F8756E" w:rsidP="00F8756E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11.1.4. Działanie uczulające na drogi oddechowe lub skórę</w:t>
      </w:r>
    </w:p>
    <w:p w:rsidR="00AB59F4" w:rsidRDefault="00AB59F4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B59F4">
        <w:rPr>
          <w:rFonts w:asciiTheme="minorHAnsi" w:hAnsiTheme="minorHAnsi"/>
          <w:color w:val="808080"/>
          <w:sz w:val="18"/>
          <w:szCs w:val="18"/>
        </w:rPr>
        <w:t>Nie prowadzono badań własnych mieszaniny, badania nie były wymagane na etapie rejestracji i wprowadzania produktu biobójczego do obrotu. Nie zawiera składników sklasyfikowanych jako uczulające.</w:t>
      </w:r>
    </w:p>
    <w:p w:rsidR="00F8756E" w:rsidRPr="00A76029" w:rsidRDefault="00F8756E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11.1.5. Działanie toksyczne na narządy docelowe – narażenie powtarzane</w:t>
      </w:r>
    </w:p>
    <w:p w:rsidR="00975A2A" w:rsidRPr="00A76029" w:rsidRDefault="00975A2A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Nie prowadzono badań własnych dla mieszaniny,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do obrotu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>.</w:t>
      </w:r>
      <w:r w:rsidR="00AB59F4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Żaden ze składników preparatu nie został sklasyfikowany jako działający toksycznie na narządy docelowe przy narażeniu powtarzalnym.</w:t>
      </w:r>
    </w:p>
    <w:p w:rsidR="00F8756E" w:rsidRPr="00A76029" w:rsidRDefault="00F8756E" w:rsidP="00F8756E">
      <w:pPr>
        <w:jc w:val="both"/>
        <w:rPr>
          <w:rFonts w:ascii="Calibri" w:hAnsi="Calibri"/>
          <w:b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>11.1.6. Działanie toksyczne na narządy docelowe – narażenie jednorazowe</w:t>
      </w:r>
    </w:p>
    <w:p w:rsidR="00F8756E" w:rsidRPr="00A76029" w:rsidRDefault="00F8756E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Nie prowadzono badań własnych dla mieszaniny,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do obrotu. </w:t>
      </w:r>
      <w:r w:rsidR="00AB59F4" w:rsidRPr="00AB59F4">
        <w:rPr>
          <w:rFonts w:asciiTheme="minorHAnsi" w:hAnsiTheme="minorHAnsi"/>
          <w:bCs/>
          <w:color w:val="808080"/>
          <w:sz w:val="18"/>
          <w:szCs w:val="18"/>
        </w:rPr>
        <w:t xml:space="preserve">Cypermetryna została </w:t>
      </w:r>
      <w:r w:rsidR="00AB59F4">
        <w:rPr>
          <w:rFonts w:asciiTheme="minorHAnsi" w:hAnsiTheme="minorHAnsi"/>
          <w:bCs/>
          <w:color w:val="808080"/>
          <w:sz w:val="18"/>
          <w:szCs w:val="18"/>
        </w:rPr>
        <w:t>sklasyfikowana jako drażniąca</w:t>
      </w:r>
      <w:r w:rsidR="00AB59F4" w:rsidRPr="00AB59F4">
        <w:rPr>
          <w:rFonts w:asciiTheme="minorHAnsi" w:hAnsiTheme="minorHAnsi"/>
          <w:bCs/>
          <w:color w:val="808080"/>
          <w:sz w:val="18"/>
          <w:szCs w:val="18"/>
        </w:rPr>
        <w:t xml:space="preserve"> drogi oddechowe</w:t>
      </w:r>
      <w:r w:rsidR="00AB59F4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przy narażeniu jednorazowym.</w:t>
      </w:r>
      <w:r w:rsidR="00181C92">
        <w:rPr>
          <w:rFonts w:asciiTheme="minorHAnsi" w:hAnsiTheme="minorHAnsi"/>
          <w:color w:val="808080"/>
          <w:sz w:val="18"/>
          <w:szCs w:val="18"/>
        </w:rPr>
        <w:t xml:space="preserve"> Nie klasyfikuje się mieszaniny na podstawie zawartości składnika.</w:t>
      </w:r>
    </w:p>
    <w:p w:rsidR="00F8756E" w:rsidRPr="00A76029" w:rsidRDefault="00F8756E" w:rsidP="00F8756E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11.1.7. Rakotwórczość</w:t>
      </w:r>
    </w:p>
    <w:p w:rsidR="0093311A" w:rsidRPr="00A76029" w:rsidRDefault="00F8756E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N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 xml:space="preserve">ie prowadzono badań własnych dla mieszaniny,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>do obrotu. Żaden ze składników preparatu nie został sklasyfikowany jako rakotwórczy.</w:t>
      </w:r>
    </w:p>
    <w:p w:rsidR="00F8756E" w:rsidRPr="00A76029" w:rsidRDefault="00F8756E" w:rsidP="00F8756E">
      <w:pPr>
        <w:jc w:val="both"/>
        <w:rPr>
          <w:rFonts w:ascii="Calibri" w:hAnsi="Calibri"/>
          <w:b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>11.1.8. Działanie mutagenne na komórki rozrodcze</w:t>
      </w:r>
    </w:p>
    <w:p w:rsidR="0093311A" w:rsidRPr="00A76029" w:rsidRDefault="00F8756E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lastRenderedPageBreak/>
        <w:t>N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 xml:space="preserve">ie prowadzono badań własnych,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>do obrotu. Żaden ze składników preparatu nie został sklasyfikowany jako mutagenny.</w:t>
      </w:r>
    </w:p>
    <w:p w:rsidR="00F8756E" w:rsidRPr="00A76029" w:rsidRDefault="00F8756E" w:rsidP="0093311A">
      <w:pPr>
        <w:jc w:val="both"/>
        <w:rPr>
          <w:rFonts w:ascii="Calibri" w:hAnsi="Calibri"/>
          <w:b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>11.1.9. Szkodliwe działanie na rozrodczość</w:t>
      </w:r>
    </w:p>
    <w:p w:rsidR="0093311A" w:rsidRPr="00A76029" w:rsidRDefault="00F8756E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="Calibri" w:hAnsi="Calibri"/>
          <w:color w:val="808080"/>
          <w:sz w:val="18"/>
          <w:szCs w:val="18"/>
        </w:rPr>
        <w:t>N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 xml:space="preserve">ie prowadzono badań własnych mieszaniny,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>do obrotu. Żaden ze składników preparatu nie został sklasyfikowany jako działający szkodliwie na rozrodczość.</w:t>
      </w:r>
    </w:p>
    <w:p w:rsidR="00421391" w:rsidRPr="00A76029" w:rsidRDefault="00421391" w:rsidP="00421391">
      <w:pPr>
        <w:jc w:val="both"/>
        <w:rPr>
          <w:rFonts w:ascii="Calibri" w:hAnsi="Calibri"/>
          <w:b/>
          <w:color w:val="808080"/>
          <w:sz w:val="18"/>
          <w:szCs w:val="18"/>
        </w:rPr>
      </w:pPr>
      <w:r w:rsidRPr="00A76029">
        <w:rPr>
          <w:rFonts w:ascii="Calibri" w:hAnsi="Calibri"/>
          <w:b/>
          <w:color w:val="808080"/>
          <w:sz w:val="18"/>
          <w:szCs w:val="18"/>
        </w:rPr>
        <w:t>11.1.10. Zagrożenie spowodowane aspiracją</w:t>
      </w:r>
    </w:p>
    <w:p w:rsidR="00421391" w:rsidRPr="00A76029" w:rsidRDefault="00421391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Brak 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>zagrożenia</w:t>
      </w:r>
      <w:r w:rsidRPr="00A76029">
        <w:rPr>
          <w:rFonts w:asciiTheme="minorHAnsi" w:hAnsiTheme="minorHAnsi"/>
          <w:color w:val="808080"/>
          <w:sz w:val="18"/>
          <w:szCs w:val="18"/>
        </w:rPr>
        <w:t>. Ciało stałe.</w:t>
      </w:r>
    </w:p>
    <w:p w:rsidR="0093311A" w:rsidRPr="00A76029" w:rsidRDefault="00421391" w:rsidP="0093311A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="Calibri" w:hAnsi="Calibri"/>
          <w:b/>
          <w:iCs/>
          <w:color w:val="808080"/>
          <w:sz w:val="18"/>
          <w:szCs w:val="18"/>
        </w:rPr>
        <w:t>Informacje dotyczące prawdopodobnych dróg narażenia</w:t>
      </w:r>
    </w:p>
    <w:p w:rsidR="00AB59F4" w:rsidRDefault="00AB59F4" w:rsidP="00421391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B59F4">
        <w:rPr>
          <w:rFonts w:asciiTheme="minorHAnsi" w:hAnsiTheme="minorHAnsi"/>
          <w:bCs/>
          <w:color w:val="808080"/>
          <w:sz w:val="18"/>
          <w:szCs w:val="18"/>
        </w:rPr>
        <w:t>Ze względu na zawartość cypermetryny  może powodować podrażnienie organów oddechowych.</w:t>
      </w:r>
      <w:r>
        <w:rPr>
          <w:rFonts w:asciiTheme="minorHAnsi" w:hAnsiTheme="minorHAnsi"/>
          <w:bCs/>
          <w:color w:val="808080"/>
          <w:sz w:val="18"/>
          <w:szCs w:val="18"/>
        </w:rPr>
        <w:t xml:space="preserve"> Inne objawy nie są znane.</w:t>
      </w:r>
    </w:p>
    <w:p w:rsidR="00421391" w:rsidRPr="00A76029" w:rsidRDefault="00421391" w:rsidP="00421391">
      <w:pPr>
        <w:jc w:val="both"/>
        <w:rPr>
          <w:rFonts w:asciiTheme="minorHAnsi" w:hAnsiTheme="minorHAnsi"/>
          <w:b/>
          <w:bCs/>
          <w:i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Opóźnione, bezpośrednie oraz przewlekłe skutki krótko- i długotrwałego narażenia</w:t>
      </w:r>
    </w:p>
    <w:p w:rsidR="0093311A" w:rsidRPr="00A76029" w:rsidRDefault="00B52CA2" w:rsidP="0093311A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 xml:space="preserve">Bezpośrednie skutki narażenia podano powyżej. Nie prowadzono badań własnych mieszaniny pod kątem opóźnionych oraz przewlekłych skutków krótko- i długotrwałego narażenia, badania nie były wymagane na etapie rejestracji i wprowadzania </w:t>
      </w:r>
      <w:r w:rsidR="00AB59F4">
        <w:rPr>
          <w:rFonts w:asciiTheme="minorHAnsi" w:hAnsiTheme="minorHAnsi"/>
          <w:color w:val="808080"/>
          <w:sz w:val="18"/>
          <w:szCs w:val="18"/>
        </w:rPr>
        <w:t>produktu biobójczego</w:t>
      </w:r>
      <w:r w:rsidR="00AB59F4" w:rsidRPr="00A76029">
        <w:rPr>
          <w:rFonts w:asciiTheme="minorHAnsi" w:hAnsiTheme="minorHAnsi"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color w:val="808080"/>
          <w:sz w:val="18"/>
          <w:szCs w:val="18"/>
        </w:rPr>
        <w:t>do obrotu</w:t>
      </w:r>
      <w:r w:rsidR="0093311A" w:rsidRPr="00A76029">
        <w:rPr>
          <w:rFonts w:asciiTheme="minorHAnsi" w:hAnsiTheme="minorHAnsi"/>
          <w:color w:val="808080"/>
          <w:sz w:val="18"/>
          <w:szCs w:val="18"/>
        </w:rPr>
        <w:t>.</w:t>
      </w:r>
    </w:p>
    <w:p w:rsidR="002C35EC" w:rsidRPr="00A76029" w:rsidRDefault="002C35EC" w:rsidP="009C6755">
      <w:pPr>
        <w:rPr>
          <w:rFonts w:asciiTheme="minorHAnsi" w:hAnsiTheme="minorHAnsi"/>
          <w:b/>
          <w:color w:val="808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12: INFORMACJE EKOLOGICZNE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2D2144" w:rsidRDefault="002A0DAD" w:rsidP="002D2144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12.1. TOKSYCZNOŚĆ</w:t>
      </w:r>
    </w:p>
    <w:p w:rsidR="002D2144" w:rsidRPr="002D2144" w:rsidRDefault="002D2144" w:rsidP="002D2144">
      <w:pPr>
        <w:rPr>
          <w:rFonts w:asciiTheme="minorHAnsi" w:hAnsiTheme="minorHAnsi"/>
          <w:b/>
          <w:color w:val="808080"/>
          <w:sz w:val="18"/>
          <w:szCs w:val="18"/>
        </w:rPr>
      </w:pPr>
      <w:r w:rsidRPr="002D2144">
        <w:rPr>
          <w:rFonts w:asciiTheme="minorHAnsi" w:hAnsiTheme="minorHAnsi"/>
          <w:color w:val="808080"/>
          <w:sz w:val="18"/>
          <w:szCs w:val="18"/>
        </w:rPr>
        <w:t>Przedstawiono dane dla s.a. cypermetryna</w:t>
      </w:r>
      <w:r>
        <w:rPr>
          <w:rFonts w:asciiTheme="minorHAnsi" w:hAnsiTheme="minorHAnsi"/>
          <w:color w:val="808080"/>
          <w:sz w:val="18"/>
          <w:szCs w:val="18"/>
        </w:rPr>
        <w:t>.</w:t>
      </w:r>
    </w:p>
    <w:p w:rsidR="002A0DAD" w:rsidRPr="00A76029" w:rsidRDefault="002A0DAD" w:rsidP="002D2144">
      <w:pPr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TOKSYCZNOŚĆ DLA ORGANIZMÓW WODNYCH:</w:t>
      </w:r>
    </w:p>
    <w:p w:rsidR="002D2144" w:rsidRPr="002D2144" w:rsidRDefault="002D2144" w:rsidP="002D2144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>ryby</w:t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LC50 =0,0028 mg/l (96h Salmo gairdneri)(cypermetryna)</w:t>
      </w:r>
    </w:p>
    <w:p w:rsidR="002D2144" w:rsidRPr="002D2144" w:rsidRDefault="002D2144" w:rsidP="002D2144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  <w:t>rozwielitki</w:t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EC50 = 0,0003 mg/l (48h)(cypermetryna)</w:t>
      </w:r>
    </w:p>
    <w:p w:rsidR="002D2144" w:rsidRPr="002D2144" w:rsidRDefault="002D2144" w:rsidP="002D2144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  <w:t>algi</w:t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IC50 &gt; 0,1  mg/l (72h)(cypermetryna)</w:t>
      </w:r>
    </w:p>
    <w:p w:rsidR="002D2144" w:rsidRPr="002D2144" w:rsidRDefault="002D2144" w:rsidP="002D2144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>NOEC</w:t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 xml:space="preserve"> (chronic)</w:t>
      </w:r>
      <w:r>
        <w:rPr>
          <w:rFonts w:asciiTheme="minorHAnsi" w:hAnsiTheme="minorHAnsi"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0,00003 mg/l (34 dni; Pimephales promelas) (cypermetryna)</w:t>
      </w:r>
    </w:p>
    <w:p w:rsidR="00B52CA2" w:rsidRPr="002D2144" w:rsidRDefault="002D2144" w:rsidP="002D2144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/>
          <w:bCs/>
          <w:color w:val="808080"/>
          <w:sz w:val="18"/>
          <w:szCs w:val="18"/>
        </w:rPr>
        <w:tab/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Preparat jest sklasyfikowany na podstawie zawartości cypermetryny (Współczynnik M=1000) jako stwarzający zagrożenie ostre dla środowiska wodnego klasy 1 oraz  jako stwarzający zagrożenie długotrwałe dla środowiska wodnego klasy 1 (Współczynnik M=1000)</w:t>
      </w:r>
      <w:r w:rsidR="00B52CA2" w:rsidRPr="002D2144">
        <w:rPr>
          <w:rFonts w:asciiTheme="minorHAnsi" w:hAnsiTheme="minorHAnsi"/>
          <w:bCs/>
          <w:color w:val="808080"/>
          <w:sz w:val="18"/>
          <w:szCs w:val="18"/>
        </w:rPr>
        <w:t>Działa szkodliwie na organizmy wodne, może powodować długo utrzymujące się niekorzystne zmiany w środowisku wodnym.</w:t>
      </w:r>
    </w:p>
    <w:p w:rsidR="00D571A4" w:rsidRPr="00A76029" w:rsidRDefault="00D571A4" w:rsidP="00D571A4">
      <w:pPr>
        <w:jc w:val="both"/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  <w:t>12.2. TRWAŁOŚĆ I ZDOLNOŚĆ DO ROZKŁADU</w:t>
      </w:r>
    </w:p>
    <w:p w:rsidR="002D2144" w:rsidRPr="002D2144" w:rsidRDefault="002D2144" w:rsidP="002D2144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Cs/>
          <w:color w:val="808080"/>
          <w:sz w:val="18"/>
          <w:szCs w:val="18"/>
        </w:rPr>
        <w:t>DT90lab (20-25</w:t>
      </w:r>
      <w:r w:rsidRPr="002D2144">
        <w:rPr>
          <w:rFonts w:asciiTheme="minorHAnsi" w:hAnsiTheme="minorHAnsi"/>
          <w:bCs/>
          <w:color w:val="808080"/>
          <w:sz w:val="18"/>
          <w:szCs w:val="18"/>
          <w:vertAlign w:val="superscript"/>
        </w:rPr>
        <w:t>o</w:t>
      </w:r>
      <w:r w:rsidRPr="002D2144">
        <w:rPr>
          <w:rFonts w:asciiTheme="minorHAnsi" w:hAnsiTheme="minorHAnsi"/>
          <w:bCs/>
          <w:color w:val="808080"/>
          <w:sz w:val="18"/>
          <w:szCs w:val="18"/>
        </w:rPr>
        <w:t>C,):</w:t>
      </w:r>
    </w:p>
    <w:p w:rsidR="002D2144" w:rsidRPr="002D2144" w:rsidRDefault="002D2144" w:rsidP="002D2144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Cs/>
          <w:color w:val="808080"/>
          <w:sz w:val="18"/>
          <w:szCs w:val="18"/>
        </w:rPr>
        <w:t>cis-isomers (6 rodzajów gleb) = 102-792 dni</w:t>
      </w:r>
    </w:p>
    <w:p w:rsidR="002D2144" w:rsidRDefault="002D2144" w:rsidP="002D2144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bCs/>
          <w:color w:val="808080"/>
          <w:sz w:val="18"/>
          <w:szCs w:val="18"/>
        </w:rPr>
        <w:t>trans-isomers (6 rodzajów gleb) = 42-251 dni</w:t>
      </w:r>
    </w:p>
    <w:p w:rsidR="00D571A4" w:rsidRPr="00A76029" w:rsidRDefault="00D571A4" w:rsidP="002D2144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  <w:t>12.3. ZDOLNOŚĆ DO BIOAKUMULACJI</w:t>
      </w:r>
    </w:p>
    <w:p w:rsidR="00B52CA2" w:rsidRPr="00A76029" w:rsidRDefault="002D2144" w:rsidP="00B52CA2">
      <w:pPr>
        <w:ind w:left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2D2144">
        <w:rPr>
          <w:rFonts w:asciiTheme="minorHAnsi" w:hAnsiTheme="minorHAnsi"/>
          <w:color w:val="808080"/>
          <w:sz w:val="18"/>
          <w:szCs w:val="18"/>
        </w:rPr>
        <w:t>Współczynnik biokoncentracji BCF=1204.</w:t>
      </w:r>
      <w:r w:rsidR="00B52CA2" w:rsidRPr="00A76029">
        <w:rPr>
          <w:rFonts w:asciiTheme="minorHAnsi" w:hAnsiTheme="minorHAnsi"/>
          <w:color w:val="808080"/>
          <w:sz w:val="18"/>
          <w:szCs w:val="18"/>
        </w:rPr>
        <w:t>.</w:t>
      </w:r>
    </w:p>
    <w:p w:rsidR="00D571A4" w:rsidRPr="00A76029" w:rsidRDefault="00D571A4" w:rsidP="00B52CA2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  <w:t>12.4. MOBILNOŚĆ W GLEBIE</w:t>
      </w:r>
    </w:p>
    <w:p w:rsidR="002D2144" w:rsidRDefault="00D571A4" w:rsidP="00D571A4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</w:r>
      <w:r w:rsidR="002D2144" w:rsidRPr="002D2144">
        <w:rPr>
          <w:rFonts w:asciiTheme="minorHAnsi" w:hAnsiTheme="minorHAnsi"/>
          <w:color w:val="808080"/>
          <w:sz w:val="18"/>
          <w:szCs w:val="18"/>
        </w:rPr>
        <w:t>Oceniono na poziomie wspólnotowym jako nisko mobilny w glebie.</w:t>
      </w:r>
    </w:p>
    <w:p w:rsidR="00D571A4" w:rsidRPr="002D2144" w:rsidRDefault="00D571A4" w:rsidP="00D571A4">
      <w:pPr>
        <w:jc w:val="both"/>
        <w:rPr>
          <w:rFonts w:asciiTheme="minorHAnsi" w:hAnsiTheme="minorHAnsi"/>
          <w:color w:val="808080"/>
          <w:sz w:val="18"/>
          <w:szCs w:val="18"/>
          <w:lang w:val="de-DE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  <w:t>12.5. WYNIKI OCENY WŁAŚCIWOŚCI PBT I vPvB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="002D2144" w:rsidRPr="002D2144">
        <w:rPr>
          <w:rFonts w:asciiTheme="minorHAnsi" w:hAnsiTheme="minorHAnsi"/>
          <w:color w:val="808080"/>
          <w:sz w:val="18"/>
          <w:szCs w:val="18"/>
        </w:rPr>
        <w:t>Oceniono na poziomie wspólnotowym jako substancja nie spełniająca kryteriów PBT.</w:t>
      </w:r>
    </w:p>
    <w:p w:rsidR="00D571A4" w:rsidRPr="00A76029" w:rsidRDefault="00D571A4" w:rsidP="00D571A4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  <w:u w:val="single"/>
        </w:rPr>
        <w:t>12.6. INNE SZKODLIWE SKUTKI DZIAŁANIA</w:t>
      </w:r>
      <w:r w:rsidRPr="00A76029">
        <w:rPr>
          <w:rFonts w:asciiTheme="minorHAnsi" w:hAnsiTheme="minorHAnsi"/>
          <w:b/>
          <w:bCs/>
          <w:i/>
          <w:iCs/>
          <w:color w:val="808080"/>
          <w:sz w:val="18"/>
          <w:szCs w:val="18"/>
        </w:rPr>
        <w:t xml:space="preserve"> </w:t>
      </w:r>
      <w:r w:rsidR="002D2144">
        <w:rPr>
          <w:rFonts w:asciiTheme="minorHAnsi" w:hAnsiTheme="minorHAnsi"/>
          <w:color w:val="808080"/>
          <w:sz w:val="18"/>
          <w:szCs w:val="18"/>
        </w:rPr>
        <w:t>Nie są znane.</w:t>
      </w:r>
    </w:p>
    <w:p w:rsidR="00BF1DF1" w:rsidRPr="00A76029" w:rsidRDefault="00BF1DF1" w:rsidP="009C6755">
      <w:pPr>
        <w:rPr>
          <w:rFonts w:asciiTheme="minorHAnsi" w:hAnsiTheme="minorHAnsi"/>
          <w:b/>
          <w:color w:val="000080"/>
          <w:sz w:val="18"/>
          <w:szCs w:val="18"/>
        </w:rPr>
      </w:pPr>
    </w:p>
    <w:p w:rsidR="002C35EC" w:rsidRPr="00A76029" w:rsidRDefault="002C35EC" w:rsidP="009C6755">
      <w:pPr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13: POSTĘPOWANIE Z ODPADAMI</w:t>
      </w:r>
    </w:p>
    <w:p w:rsidR="002C35EC" w:rsidRPr="00A76029" w:rsidRDefault="002C35EC" w:rsidP="009C6755">
      <w:pPr>
        <w:rPr>
          <w:rFonts w:asciiTheme="minorHAnsi" w:hAnsiTheme="minorHAnsi"/>
          <w:color w:val="808080"/>
          <w:sz w:val="18"/>
          <w:szCs w:val="18"/>
        </w:rPr>
      </w:pPr>
    </w:p>
    <w:p w:rsidR="00BF1DF1" w:rsidRPr="00A76029" w:rsidRDefault="00BF1DF1" w:rsidP="00BF1DF1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Należy postępować zgodnie z wymaganiami państwa, do którego jest dostarczona karta charakterystyki.</w:t>
      </w:r>
    </w:p>
    <w:p w:rsidR="00BF1DF1" w:rsidRPr="00A76029" w:rsidRDefault="00BF1DF1" w:rsidP="00BF1DF1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>W Polsce obowiązują przepisy prawne:</w:t>
      </w:r>
    </w:p>
    <w:p w:rsidR="00172F47" w:rsidRPr="00172F47" w:rsidRDefault="00172F47" w:rsidP="00172F47">
      <w:pPr>
        <w:jc w:val="both"/>
        <w:rPr>
          <w:rFonts w:asciiTheme="minorHAnsi" w:hAnsiTheme="minorHAnsi"/>
          <w:color w:val="808080"/>
          <w:sz w:val="16"/>
          <w:szCs w:val="16"/>
        </w:rPr>
      </w:pPr>
      <w:r w:rsidRPr="00172F47">
        <w:rPr>
          <w:rFonts w:asciiTheme="minorHAnsi" w:hAnsiTheme="minorHAnsi"/>
          <w:color w:val="808080"/>
          <w:sz w:val="16"/>
          <w:szCs w:val="16"/>
        </w:rPr>
        <w:t>Ustawa z dnia 14 grudnia 2012 r. o odpadach (Dz. U. 2013 nr 0 poz. 21).</w:t>
      </w:r>
    </w:p>
    <w:p w:rsidR="00172F47" w:rsidRPr="00172F47" w:rsidRDefault="00172F47" w:rsidP="00172F47">
      <w:pPr>
        <w:jc w:val="both"/>
        <w:rPr>
          <w:rFonts w:asciiTheme="minorHAnsi" w:hAnsiTheme="minorHAnsi"/>
          <w:color w:val="808080"/>
          <w:sz w:val="16"/>
          <w:szCs w:val="16"/>
        </w:rPr>
      </w:pPr>
      <w:r w:rsidRPr="00172F47">
        <w:rPr>
          <w:rFonts w:asciiTheme="minorHAnsi" w:hAnsiTheme="minorHAnsi"/>
          <w:color w:val="808080"/>
          <w:sz w:val="16"/>
          <w:szCs w:val="16"/>
        </w:rPr>
        <w:t>Ustawa z dnia 13 czerwca 2013 r. o gospodarce opakowaniami i odpadami opakowaniowymi (Dz. U. z 2013r., poz. 888)</w:t>
      </w:r>
    </w:p>
    <w:p w:rsidR="00172F47" w:rsidRPr="00172F47" w:rsidRDefault="00172F47" w:rsidP="00172F47">
      <w:pPr>
        <w:jc w:val="both"/>
        <w:rPr>
          <w:rFonts w:asciiTheme="minorHAnsi" w:hAnsiTheme="minorHAnsi"/>
          <w:color w:val="808080"/>
          <w:sz w:val="16"/>
          <w:szCs w:val="16"/>
        </w:rPr>
      </w:pPr>
      <w:r w:rsidRPr="00172F47">
        <w:rPr>
          <w:rFonts w:asciiTheme="minorHAnsi" w:hAnsiTheme="minorHAnsi"/>
          <w:color w:val="808080"/>
          <w:sz w:val="16"/>
          <w:szCs w:val="16"/>
        </w:rPr>
        <w:t>Rozporządzenie Ministra Środowiska z dnia 9 grudnia 2014 r. w sprawie katalogu odpadów (Dz. U. 2014 nr 0 poz. 1923)</w:t>
      </w:r>
    </w:p>
    <w:p w:rsidR="00172F47" w:rsidRDefault="00172F47" w:rsidP="00172F47">
      <w:pPr>
        <w:jc w:val="both"/>
        <w:rPr>
          <w:rFonts w:asciiTheme="minorHAnsi" w:hAnsiTheme="minorHAnsi"/>
          <w:color w:val="808080"/>
          <w:sz w:val="16"/>
          <w:szCs w:val="16"/>
        </w:rPr>
      </w:pPr>
      <w:r w:rsidRPr="00172F47">
        <w:rPr>
          <w:rFonts w:asciiTheme="minorHAnsi" w:hAnsiTheme="minorHAnsi"/>
          <w:color w:val="808080"/>
          <w:sz w:val="16"/>
          <w:szCs w:val="16"/>
        </w:rPr>
        <w:t>Krajowy plan gospodarki odpadami 2014 (M.P. Nr 101.2011, poz. 1183)</w:t>
      </w:r>
    </w:p>
    <w:p w:rsidR="00E30DFE" w:rsidRPr="00A76029" w:rsidRDefault="00E30DFE" w:rsidP="00172F47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iCs/>
          <w:color w:val="808080"/>
          <w:sz w:val="18"/>
          <w:szCs w:val="18"/>
        </w:rPr>
        <w:t>13.1. METODY UNIESZKODLIWIANIA ODPADÓW</w:t>
      </w:r>
    </w:p>
    <w:p w:rsidR="00E30DFE" w:rsidRPr="00A76029" w:rsidRDefault="00E30DFE" w:rsidP="00E30DFE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ODPADY MIESZANINY:</w:t>
      </w:r>
    </w:p>
    <w:p w:rsidR="002D2144" w:rsidRPr="002D2144" w:rsidRDefault="002D2144" w:rsidP="002D2144">
      <w:pPr>
        <w:ind w:firstLine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2D2144">
        <w:rPr>
          <w:rFonts w:asciiTheme="minorHAnsi" w:hAnsiTheme="minorHAnsi"/>
          <w:color w:val="808080"/>
          <w:sz w:val="18"/>
          <w:szCs w:val="18"/>
        </w:rPr>
        <w:t>Zawartość/pojemnik usuwać do punktu zbiórki odpadów niebezpiecznych. Zabrania się spalania odpadów po środku we własnym zakresie. Nie usuwać do kanalizacji. Nie dopuszczać do zanieczyszczenia wód powierzchniowych i podziemnych oraz gleby. Zalecana metoda unieszkodliwiania: przekształcanie termiczne.</w:t>
      </w:r>
    </w:p>
    <w:p w:rsidR="00172F47" w:rsidRDefault="002D2144" w:rsidP="002D2144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2D2144">
        <w:rPr>
          <w:rFonts w:asciiTheme="minorHAnsi" w:hAnsiTheme="minorHAnsi"/>
          <w:color w:val="808080"/>
          <w:sz w:val="18"/>
          <w:szCs w:val="18"/>
        </w:rPr>
        <w:t>Kod odpadu: 16 03 05* organiczne odpady zawierające substancje niebezpieczne.</w:t>
      </w:r>
    </w:p>
    <w:p w:rsidR="00E30DFE" w:rsidRPr="00A76029" w:rsidRDefault="00E30DFE" w:rsidP="002D2144">
      <w:pPr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POSTĘPOWANIE Z OPAKOWANIAMI:</w:t>
      </w:r>
    </w:p>
    <w:p w:rsidR="002D2144" w:rsidRPr="002D2144" w:rsidRDefault="00E30DFE" w:rsidP="002D2144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</w:r>
      <w:r w:rsidR="002D2144" w:rsidRPr="002D2144">
        <w:rPr>
          <w:rFonts w:asciiTheme="minorHAnsi" w:hAnsiTheme="minorHAnsi"/>
          <w:color w:val="808080"/>
          <w:sz w:val="18"/>
          <w:szCs w:val="18"/>
        </w:rPr>
        <w:t>Zawartość/pojemnik usuwać do punktu zbiórki odpadów niebezpiecznych. Zabrania się spalania opakowań po środku we własnym zakresie. Nie usuwać do kanalizacji. Nie dopuszczać do zanieczyszczenia wód powierzchniowych i podziemnych oraz gleby. Zalecana metoda unieszkodliwiania: obróbka fizyko-chemiczna i/lub przekształcanie termiczne w uprawnionych instalacjach.</w:t>
      </w:r>
    </w:p>
    <w:p w:rsidR="00172F47" w:rsidRPr="00B53CB8" w:rsidRDefault="002D2144" w:rsidP="002D2144">
      <w:pPr>
        <w:ind w:firstLine="708"/>
        <w:jc w:val="both"/>
        <w:rPr>
          <w:rFonts w:asciiTheme="minorHAnsi" w:hAnsiTheme="minorHAnsi"/>
          <w:color w:val="808080"/>
          <w:sz w:val="18"/>
          <w:szCs w:val="18"/>
        </w:rPr>
      </w:pPr>
      <w:r w:rsidRPr="002D2144">
        <w:rPr>
          <w:rFonts w:asciiTheme="minorHAnsi" w:hAnsiTheme="minorHAnsi"/>
          <w:color w:val="808080"/>
          <w:sz w:val="18"/>
          <w:szCs w:val="18"/>
        </w:rPr>
        <w:t>Kod odpadu: 15 01 10* opakowania zawierające pozostałości substancji niebezpiecznych lub nimi zanieczyszczone.</w:t>
      </w:r>
    </w:p>
    <w:p w:rsidR="00E30DFE" w:rsidRPr="00A76029" w:rsidRDefault="00E30DFE" w:rsidP="009C6755">
      <w:pPr>
        <w:jc w:val="both"/>
        <w:rPr>
          <w:rFonts w:asciiTheme="minorHAnsi" w:hAnsiTheme="minorHAnsi"/>
          <w:b/>
          <w:color w:val="000080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14: INFORMACJE O TRANSPORCIE</w:t>
      </w:r>
    </w:p>
    <w:p w:rsidR="002C35EC" w:rsidRPr="00A76029" w:rsidRDefault="002C35EC" w:rsidP="009C6755">
      <w:pPr>
        <w:jc w:val="both"/>
        <w:rPr>
          <w:rFonts w:asciiTheme="minorHAnsi" w:hAnsiTheme="minorHAnsi"/>
          <w:color w:val="808080"/>
          <w:sz w:val="18"/>
          <w:szCs w:val="18"/>
        </w:rPr>
      </w:pPr>
    </w:p>
    <w:p w:rsidR="00E91EBC" w:rsidRPr="00A76029" w:rsidRDefault="00E91EBC" w:rsidP="00E91EB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14.1. Numer UN (nr ONZ)</w:t>
      </w:r>
      <w:r w:rsidRPr="00A76029">
        <w:rPr>
          <w:rFonts w:asciiTheme="minorHAnsi" w:hAnsiTheme="minorHAnsi"/>
          <w:color w:val="808080"/>
          <w:sz w:val="18"/>
          <w:szCs w:val="18"/>
        </w:rPr>
        <w:tab/>
        <w:t>UN 3077</w:t>
      </w:r>
    </w:p>
    <w:p w:rsidR="00E91EBC" w:rsidRPr="00A76029" w:rsidRDefault="00E91EBC" w:rsidP="00E91EB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14.2. PRAWIDŁOWA NAZWA PRZEWOZOWA UN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Materiał zagrażający środowisku, stały, I.N.O. (</w:t>
      </w:r>
      <w:r w:rsidR="002D2144" w:rsidRPr="002D2144">
        <w:rPr>
          <w:rFonts w:asciiTheme="minorHAnsi" w:hAnsiTheme="minorHAnsi"/>
          <w:color w:val="808080"/>
          <w:sz w:val="18"/>
          <w:szCs w:val="18"/>
        </w:rPr>
        <w:t>mieszanina cypermetryny</w:t>
      </w:r>
      <w:r w:rsidRPr="00A76029">
        <w:rPr>
          <w:rFonts w:asciiTheme="minorHAnsi" w:hAnsiTheme="minorHAnsi"/>
          <w:color w:val="808080"/>
          <w:sz w:val="18"/>
          <w:szCs w:val="18"/>
        </w:rPr>
        <w:t>)</w:t>
      </w:r>
    </w:p>
    <w:p w:rsidR="00E91EBC" w:rsidRPr="00A76029" w:rsidRDefault="00E91EBC" w:rsidP="00E91EB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14.3. KLASA ZAGROŻENIA W TRANSPORCIE 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klasa 9</w:t>
      </w:r>
    </w:p>
    <w:p w:rsidR="00E91EBC" w:rsidRPr="00A76029" w:rsidRDefault="00E91EBC" w:rsidP="00E91EB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14.4. GRUPA PAKOWANIA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 III</w:t>
      </w:r>
    </w:p>
    <w:p w:rsidR="00E91EBC" w:rsidRPr="00A76029" w:rsidRDefault="00E91EBC" w:rsidP="00E91EBC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14.5. ZAGROŻENIE DLA ŚRODOWISKA</w:t>
      </w:r>
      <w:r w:rsidRPr="00A76029">
        <w:rPr>
          <w:rFonts w:asciiTheme="minorHAnsi" w:hAnsiTheme="minorHAnsi"/>
          <w:color w:val="808080"/>
          <w:sz w:val="18"/>
          <w:szCs w:val="18"/>
        </w:rPr>
        <w:t xml:space="preserve"> Tak. Materiał zagrażający środowisku, stały, I.N.O.(</w:t>
      </w:r>
      <w:r w:rsidR="00131847" w:rsidRPr="00131847">
        <w:rPr>
          <w:rFonts w:asciiTheme="minorHAnsi" w:hAnsiTheme="minorHAnsi"/>
          <w:color w:val="808080"/>
          <w:sz w:val="18"/>
          <w:szCs w:val="18"/>
        </w:rPr>
        <w:t xml:space="preserve"> </w:t>
      </w:r>
      <w:r w:rsidR="00131847" w:rsidRPr="002D2144">
        <w:rPr>
          <w:rFonts w:asciiTheme="minorHAnsi" w:hAnsiTheme="minorHAnsi"/>
          <w:color w:val="808080"/>
          <w:sz w:val="18"/>
          <w:szCs w:val="18"/>
        </w:rPr>
        <w:t>mieszanina cypermetryny</w:t>
      </w:r>
      <w:r w:rsidRPr="00A76029">
        <w:rPr>
          <w:rFonts w:asciiTheme="minorHAnsi" w:hAnsiTheme="minorHAnsi"/>
          <w:color w:val="808080"/>
          <w:sz w:val="18"/>
          <w:szCs w:val="18"/>
        </w:rPr>
        <w:t>)</w:t>
      </w:r>
    </w:p>
    <w:p w:rsidR="00E91EBC" w:rsidRPr="00A76029" w:rsidRDefault="00E91EBC" w:rsidP="00E91EBC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14.6. SZCZEGÓLNE ŚRODKI OSTROŻNOŚCI DLA UŻYTKOWNIKÓW</w:t>
      </w:r>
    </w:p>
    <w:p w:rsidR="00E91EBC" w:rsidRPr="00A76029" w:rsidRDefault="00E91EBC" w:rsidP="00E91EBC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A76029">
        <w:rPr>
          <w:rFonts w:asciiTheme="minorHAnsi" w:hAnsiTheme="minorHAnsi"/>
          <w:color w:val="808080"/>
          <w:sz w:val="18"/>
          <w:szCs w:val="18"/>
        </w:rPr>
        <w:tab/>
        <w:t>Przewozić krytymi środkami transportu. Opakowania transportowe i jednostki ładunkowe zabezpieczyć przed przemieszczaniem się ich w czasie transportu.</w:t>
      </w:r>
    </w:p>
    <w:p w:rsidR="00FD55D1" w:rsidRPr="00A76029" w:rsidRDefault="00E91EBC" w:rsidP="00E91EBC">
      <w:pPr>
        <w:jc w:val="both"/>
        <w:rPr>
          <w:rFonts w:asciiTheme="minorHAnsi" w:hAnsiTheme="minorHAnsi"/>
          <w:color w:val="000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14.7. TRANSPORT LUZEM ZGODNIE Z ZAŁĄCZNIKIEM II DO KONWENCJI MARPOL 73/78 I KODEKSEM </w:t>
      </w:r>
      <w:r w:rsidRPr="00A76029">
        <w:rPr>
          <w:rFonts w:asciiTheme="minorHAnsi" w:hAnsiTheme="minorHAnsi"/>
          <w:color w:val="808080"/>
          <w:sz w:val="18"/>
          <w:szCs w:val="18"/>
        </w:rPr>
        <w:t>IBC nie dotyczy, nie przewożony luzem</w:t>
      </w:r>
    </w:p>
    <w:p w:rsidR="00336945" w:rsidRPr="00A76029" w:rsidRDefault="00336945" w:rsidP="009C6755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15: INFORMACJE DOTYCZĄCE PRZEPISÓW PRAWNYCH</w:t>
      </w:r>
    </w:p>
    <w:p w:rsidR="002C35EC" w:rsidRPr="00A76029" w:rsidRDefault="002C35EC" w:rsidP="009C6755">
      <w:pPr>
        <w:jc w:val="both"/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15.1.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Przepisy prawne dotyczące bezpieczeństwa, ochrony zdrowia i środowiska specyficzne dla mieszaniny</w:t>
      </w:r>
    </w:p>
    <w:p w:rsidR="00E91EBC" w:rsidRPr="00A76029" w:rsidRDefault="00E91EBC" w:rsidP="00E91EBC">
      <w:pPr>
        <w:pStyle w:val="Standard"/>
        <w:rPr>
          <w:rFonts w:ascii="Arial" w:hAnsi="Arial"/>
          <w:b/>
          <w:bCs/>
          <w:i/>
          <w:iCs/>
          <w:sz w:val="16"/>
          <w:szCs w:val="16"/>
          <w:lang w:val="pl-PL"/>
        </w:rPr>
      </w:pPr>
    </w:p>
    <w:p w:rsidR="00131847" w:rsidRPr="00131847" w:rsidRDefault="00131847" w:rsidP="00131847">
      <w:pPr>
        <w:pStyle w:val="Akapitzlist"/>
        <w:numPr>
          <w:ilvl w:val="0"/>
          <w:numId w:val="5"/>
        </w:numPr>
        <w:ind w:left="284" w:hanging="284"/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</w:pPr>
      <w:r w:rsidRPr="00131847"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Ustawa z dnia 9 października 2015 r. o produktach biobójczych (Dz.U. 2015 poz. 1926)</w:t>
      </w:r>
    </w:p>
    <w:p w:rsidR="00131847" w:rsidRDefault="00131847" w:rsidP="00131847">
      <w:pPr>
        <w:pStyle w:val="Standard"/>
        <w:numPr>
          <w:ilvl w:val="0"/>
          <w:numId w:val="5"/>
        </w:numPr>
        <w:ind w:left="284" w:hanging="284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131847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ROZPORZĄDZENIE PARLAMENTU EUROPEJSKIEGO I RADY (UE) NR 528/2012 z dnia 22 maja 2012 r. w sprawie udostępniania na rynku i stosowania produktów biobójczych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(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Dz. U. UE L nr 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167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z 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27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czerwca 2012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roku, z późniejszymi zmianami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Rozporządzenie (WE) 1907/2006 Parlamentu Europejskiego i Rady z dnia 18 grudnia 2006 roku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(Dz. U. UE L nr 396 z 30 grudnia 2006 roku, z późniejszymi zmianami).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Ustawa z dnia 25 lutego 2011r. o substancjach chemicznych i ich mieszaninach (Dz. U. Nr 63, poz. 322)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Rozporządzenie Ministra Środowiska z dnia 9 grudnia 2003r w sprawie substancji stwarzających szczególne zagrożenie dla środowiska (Dz. U. Nr 217, poz.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2141)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Ustawa z dnia 27 kwietnia 2001 r. prawo ochrony środowiska (Dz. U. 62, poz. 627, z późniejszymi zmianami)</w:t>
      </w:r>
      <w:r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 xml:space="preserve">, tekst jednolity </w:t>
      </w:r>
      <w:r w:rsidRPr="00650696"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Dz.</w:t>
      </w:r>
      <w:r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 xml:space="preserve"> </w:t>
      </w:r>
      <w:r w:rsidRPr="00650696"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U. 2013 nr 0 poz. 1232</w:t>
      </w:r>
      <w:r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 xml:space="preserve"> z dnia</w:t>
      </w:r>
      <w:r w:rsidRPr="00650696">
        <w:t xml:space="preserve"> </w:t>
      </w:r>
      <w:r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26 sierpnia 2013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Ustawa z dnia 14 grudnia 2012 r. o odpa</w:t>
      </w:r>
      <w:r w:rsidR="00131847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dach (Dz. U. 2013 nr 0 poz. 21)</w:t>
      </w:r>
    </w:p>
    <w:p w:rsidR="00704357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Cs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Ustawa z dnia 13 czerwca 2013 r. o gospodarce opakowaniami i odpadami opakowaniowym</w:t>
      </w:r>
      <w:r w:rsidRPr="00B53CB8">
        <w:rPr>
          <w:rFonts w:asciiTheme="minorHAnsi" w:hAnsiTheme="minorHAnsi" w:cs="Arial"/>
          <w:iCs/>
          <w:color w:val="808080" w:themeColor="background1" w:themeShade="80"/>
          <w:sz w:val="16"/>
          <w:szCs w:val="16"/>
          <w:lang w:val="pl-PL"/>
        </w:rPr>
        <w:t>i (</w:t>
      </w:r>
      <w:r w:rsidRPr="00B53CB8">
        <w:rPr>
          <w:rStyle w:val="StrongEmphasis"/>
          <w:rFonts w:asciiTheme="minorHAnsi" w:hAnsiTheme="minorHAnsi" w:cs="Arial"/>
          <w:b w:val="0"/>
          <w:color w:val="808080" w:themeColor="background1" w:themeShade="80"/>
          <w:sz w:val="16"/>
          <w:szCs w:val="16"/>
          <w:lang w:val="pl-PL"/>
        </w:rPr>
        <w:t>Dz. U. z 2013 r., poz. 888)</w:t>
      </w:r>
    </w:p>
    <w:p w:rsidR="00704357" w:rsidRPr="00B84E51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Cs/>
          <w:iCs/>
          <w:color w:val="808080" w:themeColor="background1" w:themeShade="80"/>
          <w:sz w:val="16"/>
          <w:szCs w:val="16"/>
          <w:lang w:val="pl-PL"/>
        </w:rPr>
      </w:pPr>
      <w:r w:rsidRPr="00B84E51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Rozporządzenie Ministra Środowiska z dnia 9 grudnia 2014 r. w sprawie katalogu odpadów (Dz.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</w:t>
      </w:r>
      <w:r w:rsidRPr="00B84E51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U. 2014 nr 0 poz. 1923)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Ustawa z dnia 19 sierpnia 2011 r. o przewozie towarów niebezpiecznych (Dz. U. 2011 nr 227 poz. 1367)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Aktualny załącznik do oświadczenia rządowego w sprawie wejścia w życie zmian do załączników A i B Umowy europejskiej dotyczącej międzynarodowego przewozu drogowego towarów niebezpiecznych (ADR), sporządzonej w Genewie dnia 30 września 1957 r.</w:t>
      </w:r>
    </w:p>
    <w:p w:rsidR="00704357" w:rsidRPr="00B53CB8" w:rsidRDefault="00704357" w:rsidP="00704357">
      <w:pPr>
        <w:pStyle w:val="Akapitzlist"/>
        <w:numPr>
          <w:ilvl w:val="0"/>
          <w:numId w:val="5"/>
        </w:numPr>
        <w:ind w:left="284" w:hanging="284"/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</w:pPr>
      <w:r w:rsidRPr="00B53CB8"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Rozporządzeniem Ministra Pracy I Polityki Społecznej z dnia 6 czerwca 2014 r. w sprawie najwyższych dopuszczalnych stężeń i natężeń czynników szkodliwych d</w:t>
      </w:r>
      <w:r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la zdrowia w środowisku pracy (</w:t>
      </w:r>
      <w:r w:rsidRPr="00B53CB8"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Dz. U. 2014 poz. 817)</w:t>
      </w:r>
    </w:p>
    <w:p w:rsidR="00704357" w:rsidRPr="00B53CB8" w:rsidRDefault="00704357" w:rsidP="00704357">
      <w:pPr>
        <w:pStyle w:val="Akapitzlist"/>
        <w:numPr>
          <w:ilvl w:val="0"/>
          <w:numId w:val="5"/>
        </w:numPr>
        <w:ind w:left="284" w:hanging="284"/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</w:pPr>
      <w:r w:rsidRPr="00B53CB8"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Rozporządzenie Ministra Pracy i Polityki Socjalnej z dnia 26 września 1997 r. w sprawie ogólnych przepisów bezpieczeństwa i higieny pracy (Dz. U. Nr 129 poz. 844, z późniejszymi zmianami)</w:t>
      </w:r>
      <w:r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, tekst jednolity Dz. U. 169 poz. 1650 z dn. 29 wrześn</w:t>
      </w:r>
      <w:r w:rsidR="00131847">
        <w:rPr>
          <w:rFonts w:asciiTheme="minorHAnsi" w:eastAsia="Andale Sans UI" w:hAnsiTheme="minorHAnsi" w:cs="Tahoma"/>
          <w:iCs/>
          <w:color w:val="808080" w:themeColor="background1" w:themeShade="80"/>
          <w:kern w:val="3"/>
          <w:sz w:val="16"/>
          <w:szCs w:val="16"/>
          <w:lang w:bidi="fa-IR"/>
        </w:rPr>
        <w:t>ia 2003 z późniejszymi zmianami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Rozporządzenie Ministra Zdrowia z dnia 30 grudnia 2004r w sprawie bezpieczeństwa i higieny pracy związanej z występowaniem w miejscu pracy czynników chemicznych (Dz. U. z 2005 r. Nr 11, poz. 86 z późn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iejszymi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 xml:space="preserve"> zm</w:t>
      </w:r>
      <w:r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ianami</w:t>
      </w:r>
      <w:r w:rsidRPr="00B53CB8"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  <w:t>)</w:t>
      </w:r>
    </w:p>
    <w:p w:rsidR="00704357" w:rsidRPr="00B53CB8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/>
          <w:color w:val="808080" w:themeColor="background1" w:themeShade="80"/>
          <w:sz w:val="16"/>
          <w:szCs w:val="16"/>
          <w:lang w:val="pl-PL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(Dz. Urz. UE L 353 z 31 grudnia 2008</w:t>
      </w:r>
      <w:r w:rsidR="00131847">
        <w:rPr>
          <w:rFonts w:asciiTheme="minorHAnsi" w:hAnsiTheme="minorHAnsi"/>
          <w:color w:val="808080" w:themeColor="background1" w:themeShade="80"/>
          <w:sz w:val="16"/>
          <w:szCs w:val="16"/>
          <w:lang w:val="pl-PL"/>
        </w:rPr>
        <w:t xml:space="preserve"> roku, z późniejszymi zmianami)</w:t>
      </w:r>
    </w:p>
    <w:p w:rsidR="00704357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53CB8"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</w:t>
      </w:r>
      <w:r w:rsidR="00131847">
        <w:rPr>
          <w:rFonts w:asciiTheme="minorHAnsi" w:hAnsiTheme="minorHAnsi" w:cs="Verdana"/>
          <w:color w:val="808080" w:themeColor="background1" w:themeShade="80"/>
          <w:sz w:val="16"/>
          <w:szCs w:val="16"/>
          <w:lang w:val="pl-PL"/>
        </w:rPr>
        <w:t>E L 354 z 31 grudnia 2008 roku)</w:t>
      </w:r>
    </w:p>
    <w:p w:rsidR="00704357" w:rsidRPr="00B84E51" w:rsidRDefault="00704357" w:rsidP="00704357">
      <w:pPr>
        <w:pStyle w:val="Standard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color w:val="808080" w:themeColor="background1" w:themeShade="80"/>
          <w:sz w:val="16"/>
          <w:szCs w:val="16"/>
          <w:lang w:val="pl-PL"/>
        </w:rPr>
      </w:pPr>
      <w:r w:rsidRPr="00B84E51">
        <w:rPr>
          <w:rFonts w:asciiTheme="minorHAnsi" w:hAnsiTheme="minorHAnsi"/>
          <w:color w:val="808080" w:themeColor="background1" w:themeShade="80"/>
          <w:sz w:val="16"/>
          <w:szCs w:val="16"/>
          <w:lang w:val="pl-PL"/>
        </w:rPr>
        <w:t>ROZPORZĄDZENIE KOMISJI (UE) 2015/830 z dnia 28 maja 2015 r. zmieniające rozporządzenie (WE) nr 1907/2006 Parlamentu Europejskiego i Rady w sprawie rejestracji, oceny, udzielania zezwoleń i stosowanych ograniczeń w zakresie chemikaliów (REACH)</w:t>
      </w:r>
    </w:p>
    <w:p w:rsidR="002C35EC" w:rsidRPr="00A76029" w:rsidRDefault="002C35EC" w:rsidP="009C6755">
      <w:pPr>
        <w:jc w:val="both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 xml:space="preserve">15.2. 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Ocena bezpieczeństwa chemicznego</w:t>
      </w:r>
    </w:p>
    <w:p w:rsidR="002C35EC" w:rsidRPr="00A76029" w:rsidRDefault="002C35EC" w:rsidP="00C25752">
      <w:pPr>
        <w:ind w:firstLine="708"/>
        <w:jc w:val="both"/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Dostawca nie dokonał oceny bezpieczeństwa chemicznego mieszaniny. Zgodnie z zapisami rozporządzenia REACH ocena bezpieczeństwa chemicznego niniejszego produktu nie jest wymagana.</w:t>
      </w:r>
      <w:r w:rsidR="00E2169B"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Również dla żadnego ze składników mieszaniny nie dokonano </w:t>
      </w:r>
      <w:r w:rsidR="00D510FB">
        <w:rPr>
          <w:rFonts w:asciiTheme="minorHAnsi" w:hAnsiTheme="minorHAnsi"/>
          <w:bCs/>
          <w:color w:val="808080"/>
          <w:sz w:val="18"/>
          <w:szCs w:val="18"/>
        </w:rPr>
        <w:t xml:space="preserve">takiej </w:t>
      </w:r>
      <w:r w:rsidR="00E2169B" w:rsidRPr="00A76029">
        <w:rPr>
          <w:rFonts w:asciiTheme="minorHAnsi" w:hAnsiTheme="minorHAnsi"/>
          <w:bCs/>
          <w:color w:val="808080"/>
          <w:sz w:val="18"/>
          <w:szCs w:val="18"/>
        </w:rPr>
        <w:t>oceny.</w:t>
      </w:r>
    </w:p>
    <w:p w:rsidR="002C35EC" w:rsidRPr="00A76029" w:rsidRDefault="002C35EC" w:rsidP="009C6755">
      <w:pPr>
        <w:jc w:val="both"/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color w:val="004A9B"/>
          <w:sz w:val="18"/>
          <w:szCs w:val="18"/>
        </w:rPr>
      </w:pPr>
      <w:r w:rsidRPr="00A76029">
        <w:rPr>
          <w:rFonts w:asciiTheme="minorHAnsi" w:hAnsiTheme="minorHAnsi"/>
          <w:b/>
          <w:color w:val="004A9B"/>
          <w:sz w:val="18"/>
          <w:szCs w:val="18"/>
        </w:rPr>
        <w:t>SEKCJA 16: INNE INFORMACJE</w:t>
      </w:r>
    </w:p>
    <w:p w:rsidR="002C35EC" w:rsidRPr="00A76029" w:rsidRDefault="002C35EC" w:rsidP="009C6755">
      <w:pPr>
        <w:jc w:val="both"/>
        <w:rPr>
          <w:rFonts w:asciiTheme="minorHAnsi" w:hAnsiTheme="minorHAnsi"/>
          <w:color w:val="808080"/>
          <w:sz w:val="18"/>
          <w:szCs w:val="18"/>
        </w:rPr>
      </w:pPr>
    </w:p>
    <w:p w:rsidR="002C35EC" w:rsidRPr="00A76029" w:rsidRDefault="002C35EC" w:rsidP="009C6755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16.1. Wykaz punktów karty, których treść uległa zmianie.</w:t>
      </w:r>
    </w:p>
    <w:p w:rsidR="00D510FB" w:rsidRPr="00D510FB" w:rsidRDefault="00D510FB" w:rsidP="00D510FB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D510FB">
        <w:rPr>
          <w:rFonts w:asciiTheme="minorHAnsi" w:hAnsiTheme="minorHAnsi"/>
          <w:color w:val="808080"/>
          <w:sz w:val="18"/>
          <w:szCs w:val="18"/>
        </w:rPr>
        <w:t>Data sporządzenia (nr wersji): 201</w:t>
      </w:r>
      <w:r w:rsidR="003C0EA8">
        <w:rPr>
          <w:rFonts w:asciiTheme="minorHAnsi" w:hAnsiTheme="minorHAnsi"/>
          <w:color w:val="808080"/>
          <w:sz w:val="18"/>
          <w:szCs w:val="18"/>
        </w:rPr>
        <w:t>5</w:t>
      </w:r>
      <w:r w:rsidRPr="00D510FB">
        <w:rPr>
          <w:rFonts w:asciiTheme="minorHAnsi" w:hAnsiTheme="minorHAnsi"/>
          <w:color w:val="808080"/>
          <w:sz w:val="18"/>
          <w:szCs w:val="18"/>
        </w:rPr>
        <w:t>/10/28 (1)</w:t>
      </w:r>
    </w:p>
    <w:p w:rsidR="00D510FB" w:rsidRDefault="00D510FB" w:rsidP="00D510FB">
      <w:pPr>
        <w:jc w:val="both"/>
        <w:rPr>
          <w:rFonts w:asciiTheme="minorHAnsi" w:hAnsiTheme="minorHAnsi"/>
          <w:color w:val="808080"/>
          <w:sz w:val="18"/>
          <w:szCs w:val="18"/>
        </w:rPr>
      </w:pPr>
      <w:r w:rsidRPr="00D510FB">
        <w:rPr>
          <w:rFonts w:asciiTheme="minorHAnsi" w:hAnsiTheme="minorHAnsi"/>
          <w:color w:val="808080"/>
          <w:sz w:val="18"/>
          <w:szCs w:val="18"/>
        </w:rPr>
        <w:t>Aktualizacja (nr aktualizacji): Brak. Pierwsze wydanie.</w:t>
      </w:r>
    </w:p>
    <w:p w:rsidR="002C35EC" w:rsidRPr="00A76029" w:rsidRDefault="002C35EC" w:rsidP="00D510FB">
      <w:pPr>
        <w:jc w:val="both"/>
        <w:rPr>
          <w:rFonts w:asciiTheme="minorHAnsi" w:hAnsiTheme="minorHAnsi"/>
          <w:b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color w:val="808080"/>
          <w:sz w:val="18"/>
          <w:szCs w:val="18"/>
        </w:rPr>
        <w:t>16.2. Lista odpowiednich zwrotów wymienionych w sekcjach 2-15 oraz (jeśli to właściwe) pełny tekst wszelkich zwrotów, które nie zostały podane w całości w sekcjach 2-15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Acute Tox. 4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Toksyczność ostra kategorii 4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STOT SE 3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Narażenie powtarzalne kategorii 3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lastRenderedPageBreak/>
        <w:t>Aquatic Acute 1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Narażenie ostre dla środowiska wodnego 1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Aquatic Chronic 1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Narażenie przewlekłe dla środowiska wodnego 1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H332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Działa szkodliwie w następstwie wdychania.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H302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Działa szkodliwie po połknięciu.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H335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Może powodować podrażnienie dróg oddechowych.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H400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Działa bardzo toksycznie na organizmy wodne.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/>
          <w:bCs/>
          <w:color w:val="808080"/>
          <w:sz w:val="18"/>
          <w:szCs w:val="18"/>
        </w:rPr>
        <w:t>H410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 xml:space="preserve"> Działa bardzo toksycznie na organizmy wodne, powodując długotrwałe skutki.</w:t>
      </w:r>
    </w:p>
    <w:p w:rsidR="00FE6BA0" w:rsidRPr="00A76029" w:rsidRDefault="00FE6BA0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SKRÓTY I AKRONIMY: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Klasyfikacja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CLP – zgodnie z ROZPORZĄDZENIEM PARLAMENTU EUROPEJSKIEGO I RADY (WE) NR 1272/2008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m/m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- masowo masowy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Numer WE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- tzn. EINECS, ELINCS lub NLP, jest oficjalnym numerem danej substancji w Unii Europejskiej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Nr CAS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- oznaczenie numeryczne przypisane substancji chemicznej przez amerykańską organizację Chemical Abstracts Service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PBT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– oznaczenie substancji trwałych,wykazujących zdolność do bioakumulacji i toksycznych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vPvB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- oznaczenie substancji bardzo trwałych, wykazujących bardzo dużą zdolność do bioakumulacji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LD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  <w:vertAlign w:val="subscript"/>
        </w:rPr>
        <w:t>50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 xml:space="preserve"> - dawka substancji, powodująca śmierć 50% badanej populacji.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LC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  <w:vertAlign w:val="subscript"/>
        </w:rPr>
        <w:t>50</w:t>
      </w:r>
      <w:r w:rsidRPr="00A76029">
        <w:rPr>
          <w:rFonts w:asciiTheme="minorHAnsi" w:hAnsiTheme="minorHAnsi"/>
          <w:bCs/>
          <w:color w:val="808080"/>
          <w:sz w:val="18"/>
          <w:szCs w:val="18"/>
          <w:vertAlign w:val="subscript"/>
        </w:rPr>
        <w:t xml:space="preserve">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- dawka substancji, powodująca śmierć 50% badanej populacji.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>DT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  <w:vertAlign w:val="subscript"/>
        </w:rPr>
        <w:t>50/90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–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okres rozkładu połowicznego/ po 90 dniach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m.c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–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masa ciała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s.m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-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sucha masa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ŚOR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-</w:t>
      </w:r>
      <w:r w:rsidRPr="00A76029">
        <w:rPr>
          <w:rFonts w:asciiTheme="minorHAnsi" w:hAnsiTheme="minorHAnsi"/>
          <w:b/>
          <w:bCs/>
          <w:color w:val="808080"/>
          <w:sz w:val="18"/>
          <w:szCs w:val="18"/>
        </w:rPr>
        <w:t xml:space="preserve"> </w:t>
      </w:r>
      <w:r w:rsidRPr="00A76029">
        <w:rPr>
          <w:rFonts w:asciiTheme="minorHAnsi" w:hAnsiTheme="minorHAnsi"/>
          <w:bCs/>
          <w:color w:val="808080"/>
          <w:sz w:val="18"/>
          <w:szCs w:val="18"/>
        </w:rPr>
        <w:t>środki ochrony roślin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NIEZBĘDNE SZKOLENIA: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>Występuje obowiązek niezbędnych szkoleń wynikających z przepisów - Kodeks Pracy.</w:t>
      </w:r>
    </w:p>
    <w:p w:rsidR="00FE6BA0" w:rsidRPr="00A76029" w:rsidRDefault="00FE6BA0" w:rsidP="00FE6BA0">
      <w:pPr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ZALECANE OGRANICZENIA W STOSOWANIU:</w:t>
      </w:r>
    </w:p>
    <w:p w:rsidR="00D510FB" w:rsidRDefault="00D510FB" w:rsidP="006A28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Preparat można stosować w pomieszczeniach (domowych, biurowych, magazynach), na terenach przyległych do budynków (fundamenty) oraz na zewnątrz pomieszczeń: tarasy, balkony, podjazdy, chodniki, parkingi, garaże.</w:t>
      </w:r>
      <w:r>
        <w:rPr>
          <w:rFonts w:asciiTheme="minorHAnsi" w:hAnsiTheme="minorHAnsi"/>
          <w:bCs/>
          <w:color w:val="808080"/>
          <w:sz w:val="18"/>
          <w:szCs w:val="18"/>
        </w:rPr>
        <w:t xml:space="preserve"> Stosować się do zapisów na etykiecie.</w:t>
      </w:r>
    </w:p>
    <w:p w:rsidR="006A28A0" w:rsidRPr="00A76029" w:rsidRDefault="006A28A0" w:rsidP="006A28A0">
      <w:pPr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TEL.OŚRODKÓW TOKSYKOLOGICZNYCH: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5B390F">
        <w:rPr>
          <w:rFonts w:asciiTheme="minorHAnsi" w:hAnsiTheme="minorHAnsi"/>
          <w:b/>
          <w:bCs/>
          <w:color w:val="808080"/>
          <w:sz w:val="18"/>
          <w:szCs w:val="18"/>
        </w:rPr>
        <w:t>1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>) Niepubliczny Zakład Opieki Zdrowotnej Pomorskie Centrum Toksykologii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ul. Kartuska 4/6, 80-104 Gdańsk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właściwy do kontroli zatruć na terenie województwa pomorskiego, zachodniopomorskiego, warmińsko-mazurskiego oraz kujawsko-pomorskiego.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5B390F">
        <w:rPr>
          <w:rFonts w:asciiTheme="minorHAnsi" w:hAnsiTheme="minorHAnsi"/>
          <w:b/>
          <w:bCs/>
          <w:color w:val="808080"/>
          <w:sz w:val="18"/>
          <w:szCs w:val="18"/>
        </w:rPr>
        <w:t>2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>) Ośrodek Informacji Toksykologicznej Katedry Toksykologii i Chorób Środowiskowych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Uniwersytet Jagielloński Collegium Medicum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ul. Śniadeckich 10; 31-531 Kraków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właściwy do kontroli zatruć na terenie województwa małopolskiego, podkarpackiego, śląskiego oraz świętokrzyskiego.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5B390F">
        <w:rPr>
          <w:rFonts w:asciiTheme="minorHAnsi" w:hAnsiTheme="minorHAnsi"/>
          <w:b/>
          <w:bCs/>
          <w:color w:val="808080"/>
          <w:sz w:val="18"/>
          <w:szCs w:val="18"/>
        </w:rPr>
        <w:t>3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>) Ośrodek Informacji Toksykologicznej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Oddział Toksykologii im. dr Wandy Błeńskiej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Szpital Miejski im. Franciszka Raszei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ul. Mickiewicza 2; 60-834 Poznań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właściwy do kontroli zatruć na terenie województwa wielkopolskiego, dolnośląskiego, lubuskiego oraz opolskiego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5B390F">
        <w:rPr>
          <w:rFonts w:asciiTheme="minorHAnsi" w:hAnsiTheme="minorHAnsi"/>
          <w:b/>
          <w:bCs/>
          <w:color w:val="808080"/>
          <w:sz w:val="18"/>
          <w:szCs w:val="18"/>
        </w:rPr>
        <w:t>4</w:t>
      </w:r>
      <w:r w:rsidRPr="00D510FB">
        <w:rPr>
          <w:rFonts w:asciiTheme="minorHAnsi" w:hAnsiTheme="minorHAnsi"/>
          <w:bCs/>
          <w:color w:val="808080"/>
          <w:sz w:val="18"/>
          <w:szCs w:val="18"/>
        </w:rPr>
        <w:t>) Ośrodek Kontroli Zatruć – Warszawa</w:t>
      </w:r>
    </w:p>
    <w:p w:rsidR="00D510FB" w:rsidRP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ul. Piłsudskiego 33; 05-074 Halinów</w:t>
      </w:r>
    </w:p>
    <w:p w:rsidR="00D510FB" w:rsidRDefault="00D510FB" w:rsidP="00D510FB">
      <w:pPr>
        <w:rPr>
          <w:rFonts w:asciiTheme="minorHAnsi" w:hAnsiTheme="minorHAnsi"/>
          <w:bCs/>
          <w:color w:val="808080"/>
          <w:sz w:val="18"/>
          <w:szCs w:val="18"/>
        </w:rPr>
      </w:pPr>
      <w:r w:rsidRPr="00D510FB">
        <w:rPr>
          <w:rFonts w:asciiTheme="minorHAnsi" w:hAnsiTheme="minorHAnsi"/>
          <w:bCs/>
          <w:color w:val="808080"/>
          <w:sz w:val="18"/>
          <w:szCs w:val="18"/>
        </w:rPr>
        <w:t>właściwy do kontroli zatruć na terenie województwa mazowieckiego, łódzkiego, podlaskiego oraz lubelskiego.</w:t>
      </w:r>
    </w:p>
    <w:p w:rsidR="00FE6BA0" w:rsidRPr="00A76029" w:rsidRDefault="00FE6BA0" w:rsidP="00D510FB">
      <w:pPr>
        <w:rPr>
          <w:rFonts w:asciiTheme="minorHAnsi" w:hAnsiTheme="minorHAnsi"/>
          <w:b/>
          <w:bCs/>
          <w:color w:val="808080"/>
          <w:sz w:val="18"/>
          <w:szCs w:val="18"/>
          <w:u w:val="single"/>
        </w:rPr>
      </w:pPr>
      <w:r w:rsidRPr="00A76029">
        <w:rPr>
          <w:rFonts w:asciiTheme="minorHAnsi" w:hAnsiTheme="minorHAnsi"/>
          <w:b/>
          <w:bCs/>
          <w:color w:val="808080"/>
          <w:sz w:val="18"/>
          <w:szCs w:val="18"/>
          <w:u w:val="single"/>
        </w:rPr>
        <w:t>INFORMACJE DODATKOWE:</w:t>
      </w:r>
    </w:p>
    <w:p w:rsidR="00FE6BA0" w:rsidRPr="00A76029" w:rsidRDefault="00FE6BA0" w:rsidP="00FE6BA0">
      <w:pPr>
        <w:rPr>
          <w:rFonts w:asciiTheme="minorHAnsi" w:hAnsiTheme="minorHAnsi"/>
          <w:bCs/>
          <w:color w:val="808080"/>
          <w:sz w:val="18"/>
          <w:szCs w:val="18"/>
        </w:rPr>
      </w:pPr>
      <w:r w:rsidRPr="00A76029">
        <w:rPr>
          <w:rFonts w:asciiTheme="minorHAnsi" w:hAnsiTheme="minorHAnsi"/>
          <w:bCs/>
          <w:color w:val="808080"/>
          <w:sz w:val="18"/>
          <w:szCs w:val="18"/>
        </w:rPr>
        <w:tab/>
        <w:t>Ewentualnie dalsze informacje można uzyskać u producenta jak podano w punkcie 1.3.</w:t>
      </w:r>
    </w:p>
    <w:p w:rsidR="00E0067D" w:rsidRPr="00A76029" w:rsidRDefault="00E0067D" w:rsidP="00FE6BA0">
      <w:pPr>
        <w:rPr>
          <w:rFonts w:asciiTheme="minorHAnsi" w:hAnsiTheme="minorHAnsi"/>
          <w:bCs/>
          <w:color w:val="808080"/>
          <w:sz w:val="18"/>
          <w:szCs w:val="18"/>
        </w:rPr>
      </w:pPr>
    </w:p>
    <w:p w:rsidR="00513B4E" w:rsidRPr="00A76029" w:rsidRDefault="00513B4E" w:rsidP="00E2169B">
      <w:pPr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9467" w:type="dxa"/>
        <w:tblInd w:w="28" w:type="dxa"/>
        <w:tblBorders>
          <w:top w:val="single" w:sz="2" w:space="0" w:color="0000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67"/>
      </w:tblGrid>
      <w:tr w:rsidR="002C35EC" w:rsidRPr="00A76029" w:rsidTr="00941886">
        <w:tc>
          <w:tcPr>
            <w:tcW w:w="9467" w:type="dxa"/>
            <w:tcBorders>
              <w:top w:val="single" w:sz="2" w:space="0" w:color="000099"/>
            </w:tcBorders>
            <w:noWrap/>
            <w:tcMar>
              <w:left w:w="28" w:type="dxa"/>
            </w:tcMar>
            <w:vAlign w:val="center"/>
          </w:tcPr>
          <w:p w:rsidR="002C35EC" w:rsidRPr="00A76029" w:rsidRDefault="002C35EC" w:rsidP="0094188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i/>
                <w:color w:val="000080"/>
                <w:sz w:val="12"/>
                <w:szCs w:val="12"/>
              </w:rPr>
            </w:pPr>
            <w:r w:rsidRPr="00A76029">
              <w:rPr>
                <w:rFonts w:asciiTheme="minorHAnsi" w:hAnsiTheme="minorHAnsi"/>
                <w:i/>
                <w:color w:val="000080"/>
                <w:sz w:val="12"/>
                <w:szCs w:val="12"/>
                <w:lang w:eastAsia="pl-PL"/>
              </w:rPr>
              <w:t>Niniejszy dokument ma charakter informacyjny. Informacje w nim podane opierają się na aktualnym stanie naszej wiedzy i doświadczeniu. Nie stanowią one gwarancji właściwości produktu ani specyfikacji jakościowej i nie mogą być podstawą do reklamacji. Przedstawione informacje nie mają zastosowania dla mieszanin produktu z innymi substancjami. Produkt powinien być transportowany, magazynowany i stosowany zgodnie z obowiązującymi przepisami, dobrymi praktykami higieny pracy oraz zaleceniami zawartymi w dostarczanej dla niego karcie charakterystyki.</w:t>
            </w:r>
          </w:p>
        </w:tc>
      </w:tr>
    </w:tbl>
    <w:p w:rsidR="002C35EC" w:rsidRPr="00A76029" w:rsidRDefault="002C35EC" w:rsidP="009C6755">
      <w:pPr>
        <w:rPr>
          <w:rFonts w:asciiTheme="minorHAnsi" w:hAnsiTheme="minorHAnsi"/>
          <w:szCs w:val="12"/>
        </w:rPr>
      </w:pPr>
    </w:p>
    <w:p w:rsidR="00513B4E" w:rsidRPr="00A76029" w:rsidRDefault="00513B4E" w:rsidP="00513B4E">
      <w:pPr>
        <w:jc w:val="center"/>
        <w:rPr>
          <w:rFonts w:asciiTheme="minorHAnsi" w:hAnsiTheme="minorHAnsi"/>
          <w:color w:val="808080" w:themeColor="background1" w:themeShade="80"/>
          <w:szCs w:val="12"/>
        </w:rPr>
      </w:pPr>
      <w:r w:rsidRPr="00A76029">
        <w:rPr>
          <w:rFonts w:asciiTheme="minorHAnsi" w:hAnsiTheme="minorHAnsi"/>
          <w:color w:val="808080" w:themeColor="background1" w:themeShade="80"/>
          <w:szCs w:val="12"/>
        </w:rPr>
        <w:t>Koniec dokumentu</w:t>
      </w:r>
    </w:p>
    <w:sectPr w:rsidR="00513B4E" w:rsidRPr="00A76029" w:rsidSect="00691F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31" w:rsidRDefault="009D5E31">
      <w:r>
        <w:separator/>
      </w:r>
    </w:p>
  </w:endnote>
  <w:endnote w:type="continuationSeparator" w:id="0">
    <w:p w:rsidR="009D5E31" w:rsidRDefault="009D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CellMar>
        <w:left w:w="28" w:type="dxa"/>
        <w:right w:w="0" w:type="dxa"/>
      </w:tblCellMar>
      <w:tblLook w:val="00A0"/>
    </w:tblPr>
    <w:tblGrid>
      <w:gridCol w:w="5888"/>
      <w:gridCol w:w="3893"/>
    </w:tblGrid>
    <w:tr w:rsidR="00D554C1" w:rsidRPr="004E4E9C" w:rsidTr="00691F81">
      <w:trPr>
        <w:trHeight w:val="80"/>
      </w:trPr>
      <w:tc>
        <w:tcPr>
          <w:tcW w:w="9781" w:type="dxa"/>
          <w:gridSpan w:val="2"/>
        </w:tcPr>
        <w:p w:rsidR="00D554C1" w:rsidRPr="004E4E9C" w:rsidRDefault="00D554C1" w:rsidP="004E4E9C">
          <w:r w:rsidRPr="00864A13">
            <w:rPr>
              <w:rFonts w:ascii="Calibri" w:hAnsi="Calibri" w:cs="Calibri"/>
              <w:iCs/>
              <w:noProof/>
              <w:color w:val="808080"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105105</wp:posOffset>
                </wp:positionV>
                <wp:extent cx="1323975" cy="802005"/>
                <wp:effectExtent l="0" t="0" r="9525" b="0"/>
                <wp:wrapNone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E4E9C">
            <w:rPr>
              <w:noProof/>
              <w:lang w:eastAsia="pl-PL"/>
            </w:rPr>
            <w:drawing>
              <wp:inline distT="0" distB="0" distL="0" distR="0">
                <wp:extent cx="5915025" cy="161925"/>
                <wp:effectExtent l="19050" t="0" r="0" b="0"/>
                <wp:docPr id="101" name="Picture 5" descr="horizontalline_leftd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orizontalline_leftd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54C1" w:rsidTr="002A0DAD">
      <w:trPr>
        <w:trHeight w:val="1134"/>
      </w:trPr>
      <w:tc>
        <w:tcPr>
          <w:tcW w:w="5888" w:type="dxa"/>
          <w:vAlign w:val="center"/>
        </w:tcPr>
        <w:tbl>
          <w:tblPr>
            <w:tblW w:w="0" w:type="auto"/>
            <w:tblLayout w:type="fixed"/>
            <w:tblCellMar>
              <w:left w:w="28" w:type="dxa"/>
              <w:right w:w="0" w:type="dxa"/>
            </w:tblCellMar>
            <w:tblLook w:val="00A0"/>
          </w:tblPr>
          <w:tblGrid>
            <w:gridCol w:w="6237"/>
            <w:gridCol w:w="1423"/>
          </w:tblGrid>
          <w:tr w:rsidR="00D554C1" w:rsidRPr="00864A13" w:rsidTr="004D3AB9">
            <w:trPr>
              <w:trHeight w:val="935"/>
            </w:trPr>
            <w:tc>
              <w:tcPr>
                <w:tcW w:w="6237" w:type="dxa"/>
              </w:tcPr>
              <w:p w:rsidR="00D554C1" w:rsidRPr="00864A13" w:rsidRDefault="00D554C1" w:rsidP="004D3AB9">
                <w:pPr>
                  <w:pStyle w:val="Stopka"/>
                  <w:tabs>
                    <w:tab w:val="right" w:pos="9323"/>
                  </w:tabs>
                  <w:rPr>
                    <w:rFonts w:ascii="Calibri" w:hAnsi="Calibri" w:cs="Calibri"/>
                    <w:b/>
                    <w:iCs/>
                    <w:color w:val="808080"/>
                    <w:sz w:val="20"/>
                    <w:szCs w:val="20"/>
                  </w:rPr>
                </w:pPr>
                <w:r w:rsidRPr="00864A13">
                  <w:rPr>
                    <w:rFonts w:ascii="Calibri" w:hAnsi="Calibri" w:cs="Calibri"/>
                    <w:b/>
                    <w:iCs/>
                    <w:noProof/>
                    <w:color w:val="808080"/>
                    <w:sz w:val="20"/>
                    <w:szCs w:val="20"/>
                    <w:lang w:eastAsia="pl-PL"/>
                  </w:rPr>
                  <w:drawing>
                    <wp:anchor distT="0" distB="0" distL="114300" distR="114300" simplePos="0" relativeHeight="251662848" behindDoc="1" locked="1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4655185</wp:posOffset>
                      </wp:positionV>
                      <wp:extent cx="2281555" cy="1383030"/>
                      <wp:effectExtent l="0" t="0" r="0" b="0"/>
                      <wp:wrapNone/>
                      <wp:docPr id="102" name="Obraz 102" descr="logo Synthos AGRO_stop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Synthos AGRO_stop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1555" cy="138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864A13">
                  <w:rPr>
                    <w:rFonts w:ascii="Calibri" w:hAnsi="Calibri" w:cs="Calibri"/>
                    <w:b/>
                    <w:iCs/>
                    <w:color w:val="808080"/>
                    <w:sz w:val="20"/>
                    <w:szCs w:val="20"/>
                  </w:rPr>
                  <w:t>Synthos Agro Sp. z o.o.</w:t>
                </w:r>
              </w:p>
              <w:p w:rsidR="00D554C1" w:rsidRPr="00864A13" w:rsidRDefault="00D554C1" w:rsidP="004D3AB9">
                <w:pPr>
                  <w:pStyle w:val="Stopka"/>
                  <w:tabs>
                    <w:tab w:val="right" w:pos="9323"/>
                  </w:tabs>
                  <w:rPr>
                    <w:rFonts w:ascii="Calibri" w:hAnsi="Calibri" w:cs="Calibri"/>
                    <w:iCs/>
                    <w:color w:val="808080"/>
                    <w:sz w:val="18"/>
                    <w:szCs w:val="18"/>
                  </w:rPr>
                </w:pPr>
                <w:r w:rsidRPr="00864A13">
                  <w:rPr>
                    <w:rFonts w:ascii="Calibri" w:hAnsi="Calibri" w:cs="Calibri"/>
                    <w:iCs/>
                    <w:color w:val="808080"/>
                    <w:sz w:val="18"/>
                    <w:szCs w:val="18"/>
                  </w:rPr>
                  <w:t>ul. Chemików 1, 32-600 Oświęcim, tel. +48 33 847 47 77, fax +48 33 847 47 78.</w:t>
                </w:r>
              </w:p>
              <w:p w:rsidR="00D554C1" w:rsidRPr="00864A13" w:rsidRDefault="00D554C1" w:rsidP="004D3AB9">
                <w:pPr>
                  <w:pStyle w:val="Stopka"/>
                  <w:rPr>
                    <w:color w:val="00A24B"/>
                    <w:sz w:val="20"/>
                    <w:szCs w:val="20"/>
                  </w:rPr>
                </w:pPr>
                <w:r w:rsidRPr="00864A13">
                  <w:rPr>
                    <w:rFonts w:ascii="Calibri" w:hAnsi="Calibri" w:cs="Calibri"/>
                    <w:b/>
                    <w:iCs/>
                    <w:color w:val="00A24B"/>
                    <w:sz w:val="20"/>
                    <w:szCs w:val="20"/>
                  </w:rPr>
                  <w:t>www.synthosagro.com</w:t>
                </w:r>
              </w:p>
            </w:tc>
            <w:tc>
              <w:tcPr>
                <w:tcW w:w="1423" w:type="dxa"/>
              </w:tcPr>
              <w:p w:rsidR="00D554C1" w:rsidRPr="00864A13" w:rsidRDefault="00D554C1" w:rsidP="004E4E9C">
                <w:pPr>
                  <w:pStyle w:val="Stopka"/>
                </w:pPr>
              </w:p>
            </w:tc>
          </w:tr>
        </w:tbl>
        <w:p w:rsidR="00D554C1" w:rsidRPr="004E4E9C" w:rsidRDefault="00D554C1" w:rsidP="004E4E9C"/>
      </w:tc>
      <w:tc>
        <w:tcPr>
          <w:tcW w:w="3893" w:type="dxa"/>
          <w:vAlign w:val="center"/>
        </w:tcPr>
        <w:p w:rsidR="00D554C1" w:rsidRDefault="00D554C1" w:rsidP="002A0DAD">
          <w:pPr>
            <w:pStyle w:val="Stopka"/>
            <w:jc w:val="center"/>
            <w:rPr>
              <w:noProof/>
              <w:lang w:eastAsia="pl-PL"/>
            </w:rPr>
          </w:pPr>
        </w:p>
        <w:p w:rsidR="00D554C1" w:rsidRDefault="00D554C1" w:rsidP="002A0DAD">
          <w:pPr>
            <w:pStyle w:val="Stopka"/>
            <w:jc w:val="center"/>
          </w:pPr>
        </w:p>
      </w:tc>
    </w:tr>
  </w:tbl>
  <w:p w:rsidR="00D554C1" w:rsidRPr="00BF1DF1" w:rsidRDefault="00D554C1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1" w:rsidRDefault="00D554C1">
    <w:r>
      <w:rPr>
        <w:rFonts w:ascii="Calibri" w:hAnsi="Calibri" w:cs="Calibri"/>
        <w:noProof/>
        <w:sz w:val="28"/>
        <w:szCs w:val="28"/>
        <w:lang w:eastAsia="pl-PL"/>
      </w:rPr>
      <w:drawing>
        <wp:inline distT="0" distB="0" distL="0" distR="0">
          <wp:extent cx="5915025" cy="161925"/>
          <wp:effectExtent l="19050" t="0" r="0" b="0"/>
          <wp:docPr id="105" name="Picture 5" descr="horizontalline_left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line_left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28" w:type="dxa"/>
        <w:right w:w="0" w:type="dxa"/>
      </w:tblCellMar>
      <w:tblLook w:val="00A0"/>
    </w:tblPr>
    <w:tblGrid>
      <w:gridCol w:w="6894"/>
      <w:gridCol w:w="2517"/>
    </w:tblGrid>
    <w:tr w:rsidR="00D554C1" w:rsidTr="00AB15C0">
      <w:tc>
        <w:tcPr>
          <w:tcW w:w="6894" w:type="dxa"/>
          <w:vAlign w:val="center"/>
        </w:tcPr>
        <w:p w:rsidR="00D554C1" w:rsidRPr="00F85847" w:rsidRDefault="00D554C1" w:rsidP="002A4860">
          <w:pPr>
            <w:pStyle w:val="Stopka"/>
            <w:tabs>
              <w:tab w:val="right" w:pos="9323"/>
            </w:tabs>
            <w:rPr>
              <w:rFonts w:ascii="Calibri" w:hAnsi="Calibri" w:cs="Calibri"/>
              <w:b/>
              <w:iCs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b/>
              <w:iCs/>
              <w:noProof/>
              <w:color w:val="808080"/>
              <w:sz w:val="20"/>
              <w:szCs w:val="20"/>
              <w:lang w:eastAsia="pl-PL"/>
            </w:rPr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4655185</wp:posOffset>
                </wp:positionV>
                <wp:extent cx="2281555" cy="1383030"/>
                <wp:effectExtent l="0" t="0" r="0" b="0"/>
                <wp:wrapNone/>
                <wp:docPr id="106" name="Obraz 106" descr="logo Synthos AGRO_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ynthos AGRO_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55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b/>
              <w:iCs/>
              <w:color w:val="808080"/>
              <w:sz w:val="20"/>
              <w:szCs w:val="20"/>
            </w:rPr>
            <w:t>S</w:t>
          </w:r>
          <w:r w:rsidRPr="00F85847">
            <w:rPr>
              <w:rFonts w:ascii="Calibri" w:hAnsi="Calibri" w:cs="Calibri"/>
              <w:b/>
              <w:iCs/>
              <w:color w:val="808080"/>
              <w:sz w:val="20"/>
              <w:szCs w:val="20"/>
            </w:rPr>
            <w:t xml:space="preserve">ynthos </w:t>
          </w:r>
          <w:r>
            <w:rPr>
              <w:rFonts w:ascii="Calibri" w:hAnsi="Calibri" w:cs="Calibri"/>
              <w:b/>
              <w:iCs/>
              <w:color w:val="808080"/>
              <w:sz w:val="20"/>
              <w:szCs w:val="20"/>
            </w:rPr>
            <w:t>Agro Sp. z o.o.</w:t>
          </w:r>
        </w:p>
        <w:p w:rsidR="00D554C1" w:rsidRPr="00C61C7C" w:rsidRDefault="00D554C1" w:rsidP="002A4860">
          <w:pPr>
            <w:pStyle w:val="Stopka"/>
            <w:tabs>
              <w:tab w:val="right" w:pos="9323"/>
            </w:tabs>
            <w:rPr>
              <w:rFonts w:ascii="Calibri" w:hAnsi="Calibri" w:cs="Calibri"/>
              <w:iCs/>
              <w:color w:val="808080"/>
              <w:sz w:val="18"/>
              <w:szCs w:val="18"/>
            </w:rPr>
          </w:pPr>
          <w:r w:rsidRPr="00F85847">
            <w:rPr>
              <w:rFonts w:ascii="Calibri" w:hAnsi="Calibri" w:cs="Calibri"/>
              <w:b/>
              <w:iCs/>
              <w:color w:val="808080"/>
              <w:sz w:val="20"/>
              <w:szCs w:val="20"/>
            </w:rPr>
            <w:t xml:space="preserve"> </w:t>
          </w:r>
          <w:r w:rsidRPr="00C61C7C">
            <w:rPr>
              <w:rFonts w:ascii="Calibri" w:hAnsi="Calibri" w:cs="Calibri"/>
              <w:iCs/>
              <w:color w:val="808080"/>
              <w:sz w:val="18"/>
              <w:szCs w:val="18"/>
            </w:rPr>
            <w:t>ul. Chemików 1, 32-600 Oświęcim, tel. +48 33 84</w:t>
          </w:r>
          <w:r>
            <w:rPr>
              <w:rFonts w:ascii="Calibri" w:hAnsi="Calibri" w:cs="Calibri"/>
              <w:iCs/>
              <w:color w:val="808080"/>
              <w:sz w:val="18"/>
              <w:szCs w:val="18"/>
            </w:rPr>
            <w:t>7</w:t>
          </w:r>
          <w:r w:rsidRPr="00C61C7C">
            <w:rPr>
              <w:rFonts w:ascii="Calibri" w:hAnsi="Calibri" w:cs="Calibri"/>
              <w:iCs/>
              <w:color w:val="80808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iCs/>
              <w:color w:val="808080"/>
              <w:sz w:val="18"/>
              <w:szCs w:val="18"/>
            </w:rPr>
            <w:t>47</w:t>
          </w:r>
          <w:r w:rsidRPr="00C61C7C">
            <w:rPr>
              <w:rFonts w:ascii="Calibri" w:hAnsi="Calibri" w:cs="Calibri"/>
              <w:iCs/>
              <w:color w:val="80808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iCs/>
              <w:color w:val="808080"/>
              <w:sz w:val="18"/>
              <w:szCs w:val="18"/>
            </w:rPr>
            <w:t>77</w:t>
          </w:r>
          <w:r w:rsidRPr="00C61C7C">
            <w:rPr>
              <w:rFonts w:ascii="Calibri" w:hAnsi="Calibri" w:cs="Calibri"/>
              <w:iCs/>
              <w:color w:val="808080"/>
              <w:sz w:val="18"/>
              <w:szCs w:val="18"/>
            </w:rPr>
            <w:t xml:space="preserve">, fax </w:t>
          </w:r>
          <w:r>
            <w:rPr>
              <w:rFonts w:ascii="Calibri" w:hAnsi="Calibri" w:cs="Calibri"/>
              <w:iCs/>
              <w:color w:val="808080"/>
              <w:sz w:val="18"/>
              <w:szCs w:val="18"/>
            </w:rPr>
            <w:t>+48 33 847 47 78</w:t>
          </w:r>
          <w:r w:rsidRPr="00C61C7C">
            <w:rPr>
              <w:rFonts w:ascii="Calibri" w:hAnsi="Calibri" w:cs="Calibri"/>
              <w:iCs/>
              <w:color w:val="808080"/>
              <w:sz w:val="18"/>
              <w:szCs w:val="18"/>
            </w:rPr>
            <w:t>.</w:t>
          </w:r>
        </w:p>
        <w:p w:rsidR="00D554C1" w:rsidRPr="00F85847" w:rsidRDefault="00D554C1" w:rsidP="008D717C">
          <w:pPr>
            <w:pStyle w:val="Stopka"/>
            <w:rPr>
              <w:color w:val="00A24B"/>
              <w:sz w:val="20"/>
              <w:szCs w:val="20"/>
            </w:rPr>
          </w:pPr>
          <w:r w:rsidRPr="00F85847">
            <w:rPr>
              <w:rFonts w:ascii="Calibri" w:hAnsi="Calibri" w:cs="Calibri"/>
              <w:b/>
              <w:iCs/>
              <w:color w:val="00A24B"/>
              <w:sz w:val="20"/>
              <w:szCs w:val="20"/>
            </w:rPr>
            <w:t>www.synthos</w:t>
          </w:r>
          <w:r>
            <w:rPr>
              <w:rFonts w:ascii="Calibri" w:hAnsi="Calibri" w:cs="Calibri"/>
              <w:b/>
              <w:iCs/>
              <w:color w:val="00A24B"/>
              <w:sz w:val="20"/>
              <w:szCs w:val="20"/>
            </w:rPr>
            <w:t>agro</w:t>
          </w:r>
          <w:r w:rsidRPr="00F85847">
            <w:rPr>
              <w:rFonts w:ascii="Calibri" w:hAnsi="Calibri" w:cs="Calibri"/>
              <w:b/>
              <w:iCs/>
              <w:color w:val="00A24B"/>
              <w:sz w:val="20"/>
              <w:szCs w:val="20"/>
            </w:rPr>
            <w:t>.com</w:t>
          </w:r>
        </w:p>
      </w:tc>
      <w:tc>
        <w:tcPr>
          <w:tcW w:w="2517" w:type="dxa"/>
        </w:tcPr>
        <w:p w:rsidR="00D554C1" w:rsidRDefault="00D554C1" w:rsidP="00104951">
          <w:pPr>
            <w:pStyle w:val="Stopka"/>
            <w:jc w:val="right"/>
          </w:pPr>
          <w:r>
            <w:rPr>
              <w:rFonts w:ascii="Calibri" w:hAnsi="Calibri" w:cs="Calibri"/>
              <w:iCs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323975" cy="802076"/>
                <wp:effectExtent l="0" t="0" r="0" b="0"/>
                <wp:docPr id="107" name="Obraz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436" cy="8126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554C1" w:rsidRDefault="00D554C1" w:rsidP="00AB1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31" w:rsidRDefault="009D5E31">
      <w:r>
        <w:separator/>
      </w:r>
    </w:p>
  </w:footnote>
  <w:footnote w:type="continuationSeparator" w:id="0">
    <w:p w:rsidR="009D5E31" w:rsidRDefault="009D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1" w:rsidRDefault="00D554C1" w:rsidP="006D372B">
    <w:pPr>
      <w:pStyle w:val="Nagwek"/>
      <w:jc w:val="right"/>
      <w:rPr>
        <w:rFonts w:ascii="Calibri" w:hAnsi="Calibri" w:cs="Calibri"/>
        <w:color w:val="595959"/>
        <w:sz w:val="16"/>
        <w:szCs w:val="16"/>
      </w:rPr>
    </w:pPr>
    <w:r w:rsidRPr="000A6215">
      <w:rPr>
        <w:rFonts w:ascii="Calibri" w:hAnsi="Calibri" w:cs="Calibri"/>
        <w:color w:val="595959"/>
        <w:sz w:val="16"/>
        <w:szCs w:val="16"/>
      </w:rPr>
      <w:t xml:space="preserve">Strona 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begin"/>
    </w:r>
    <w:r w:rsidRPr="000A6215">
      <w:rPr>
        <w:rFonts w:ascii="Calibri" w:hAnsi="Calibri" w:cs="Calibri"/>
        <w:color w:val="595959"/>
        <w:sz w:val="16"/>
        <w:szCs w:val="16"/>
      </w:rPr>
      <w:instrText xml:space="preserve"> PAGE </w:instrTex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separate"/>
    </w:r>
    <w:r w:rsidR="004722E5">
      <w:rPr>
        <w:rFonts w:ascii="Calibri" w:hAnsi="Calibri" w:cs="Calibri"/>
        <w:noProof/>
        <w:color w:val="595959"/>
        <w:sz w:val="16"/>
        <w:szCs w:val="16"/>
      </w:rPr>
      <w:t>1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end"/>
    </w:r>
    <w:r w:rsidRPr="000A6215">
      <w:rPr>
        <w:rFonts w:ascii="Calibri" w:hAnsi="Calibri" w:cs="Calibri"/>
        <w:color w:val="595959"/>
        <w:sz w:val="16"/>
        <w:szCs w:val="16"/>
      </w:rPr>
      <w:t xml:space="preserve"> z 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begin"/>
    </w:r>
    <w:r w:rsidRPr="000A6215">
      <w:rPr>
        <w:rFonts w:ascii="Calibri" w:hAnsi="Calibri" w:cs="Calibri"/>
        <w:color w:val="595959"/>
        <w:sz w:val="16"/>
        <w:szCs w:val="16"/>
      </w:rPr>
      <w:instrText xml:space="preserve"> NUMPAGES </w:instrTex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separate"/>
    </w:r>
    <w:r w:rsidR="004722E5">
      <w:rPr>
        <w:rFonts w:ascii="Calibri" w:hAnsi="Calibri" w:cs="Calibri"/>
        <w:noProof/>
        <w:color w:val="595959"/>
        <w:sz w:val="16"/>
        <w:szCs w:val="16"/>
      </w:rPr>
      <w:t>8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end"/>
    </w:r>
  </w:p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5245"/>
      <w:gridCol w:w="4394"/>
    </w:tblGrid>
    <w:tr w:rsidR="00D554C1" w:rsidRPr="009A27FA" w:rsidTr="00691F81">
      <w:trPr>
        <w:trHeight w:val="845"/>
      </w:trPr>
      <w:tc>
        <w:tcPr>
          <w:tcW w:w="5245" w:type="dxa"/>
          <w:vAlign w:val="center"/>
        </w:tcPr>
        <w:p w:rsidR="00D554C1" w:rsidRPr="00DA702C" w:rsidRDefault="00DA702C" w:rsidP="00710610">
          <w:pPr>
            <w:jc w:val="center"/>
            <w:rPr>
              <w:rFonts w:ascii="Calibri" w:hAnsi="Calibri" w:cs="Arial"/>
              <w:b/>
              <w:color w:val="004A9B"/>
              <w:sz w:val="48"/>
              <w:szCs w:val="48"/>
            </w:rPr>
          </w:pPr>
          <w:r w:rsidRPr="00DA702C">
            <w:rPr>
              <w:rFonts w:ascii="Calibri" w:hAnsi="Calibri" w:cs="Arial"/>
              <w:b/>
              <w:color w:val="004A9B"/>
              <w:sz w:val="48"/>
              <w:szCs w:val="48"/>
            </w:rPr>
            <w:t>ANTS CONTROL granulat</w:t>
          </w:r>
        </w:p>
      </w:tc>
      <w:tc>
        <w:tcPr>
          <w:tcW w:w="4394" w:type="dxa"/>
        </w:tcPr>
        <w:p w:rsidR="00D554C1" w:rsidRPr="00FE6BA0" w:rsidRDefault="00D554C1" w:rsidP="00691F8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color w:val="004A9B"/>
              <w:szCs w:val="16"/>
            </w:rPr>
          </w:pPr>
          <w:r w:rsidRPr="00FE6BA0">
            <w:rPr>
              <w:rFonts w:ascii="Calibri" w:hAnsi="Calibri" w:cs="Calibri"/>
              <w:color w:val="004A9B"/>
            </w:rPr>
            <w:t>Karta Charakterystyki</w:t>
          </w:r>
          <w:r w:rsidRPr="00FE6BA0">
            <w:rPr>
              <w:rFonts w:ascii="Calibri" w:hAnsi="Calibri" w:cs="Calibri"/>
              <w:color w:val="004A9B"/>
              <w:szCs w:val="16"/>
            </w:rPr>
            <w:t xml:space="preserve"> </w:t>
          </w:r>
        </w:p>
        <w:p w:rsidR="00D554C1" w:rsidRPr="00FE6BA0" w:rsidRDefault="00D554C1" w:rsidP="00691F8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color w:val="004A9B"/>
              <w:sz w:val="16"/>
              <w:szCs w:val="16"/>
            </w:rPr>
          </w:pP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 xml:space="preserve">Zgodna z Rozporządzeniem WE 1907/2006 (REACH) </w:t>
          </w:r>
        </w:p>
        <w:p w:rsidR="00D554C1" w:rsidRPr="00FE6BA0" w:rsidRDefault="00D554C1" w:rsidP="00691F8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color w:val="004A9B"/>
              <w:sz w:val="16"/>
              <w:szCs w:val="16"/>
            </w:rPr>
          </w:pP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>Data sporządzenia (nr wersji): 201</w:t>
          </w:r>
          <w:r w:rsidR="00B92C37">
            <w:rPr>
              <w:rFonts w:ascii="Calibri" w:hAnsi="Calibri" w:cs="Calibri"/>
              <w:color w:val="004A9B"/>
              <w:sz w:val="16"/>
              <w:szCs w:val="16"/>
            </w:rPr>
            <w:t>5</w:t>
          </w: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>/</w:t>
          </w:r>
          <w:r w:rsidR="00710610">
            <w:rPr>
              <w:rFonts w:ascii="Calibri" w:hAnsi="Calibri" w:cs="Calibri"/>
              <w:color w:val="004A9B"/>
              <w:sz w:val="16"/>
              <w:szCs w:val="16"/>
            </w:rPr>
            <w:t>10/28</w:t>
          </w: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 xml:space="preserve"> (</w:t>
          </w:r>
          <w:r w:rsidR="00710610">
            <w:rPr>
              <w:rFonts w:ascii="Calibri" w:hAnsi="Calibri" w:cs="Calibri"/>
              <w:color w:val="004A9B"/>
              <w:sz w:val="16"/>
              <w:szCs w:val="16"/>
            </w:rPr>
            <w:t>1</w:t>
          </w: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>)</w:t>
          </w:r>
        </w:p>
        <w:p w:rsidR="00D554C1" w:rsidRPr="00FE6BA0" w:rsidRDefault="00D554C1" w:rsidP="00691F8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color w:val="004A9B"/>
              <w:sz w:val="16"/>
              <w:szCs w:val="16"/>
            </w:rPr>
          </w:pPr>
          <w:r w:rsidRPr="00FE6BA0">
            <w:rPr>
              <w:rFonts w:ascii="Calibri" w:hAnsi="Calibri" w:cs="Calibri"/>
              <w:color w:val="004A9B"/>
              <w:sz w:val="16"/>
              <w:szCs w:val="16"/>
            </w:rPr>
            <w:t xml:space="preserve">Aktualizacja (nr aktualizacji): </w:t>
          </w:r>
          <w:r w:rsidR="00710610">
            <w:rPr>
              <w:rFonts w:ascii="Calibri" w:hAnsi="Calibri" w:cs="Calibri"/>
              <w:color w:val="004A9B"/>
              <w:sz w:val="16"/>
              <w:szCs w:val="16"/>
            </w:rPr>
            <w:t>Brak. Pierwsze wydanie.</w:t>
          </w:r>
        </w:p>
        <w:p w:rsidR="00D554C1" w:rsidRPr="00FE6BA0" w:rsidRDefault="00D554C1" w:rsidP="00691F81">
          <w:pPr>
            <w:pStyle w:val="Nagwek"/>
            <w:rPr>
              <w:rFonts w:ascii="Calibri" w:hAnsi="Calibri" w:cs="Calibri"/>
              <w:color w:val="004A9B"/>
              <w:sz w:val="16"/>
              <w:szCs w:val="16"/>
            </w:rPr>
          </w:pPr>
          <w:r w:rsidRPr="00FE6BA0">
            <w:rPr>
              <w:rFonts w:ascii="Calibri" w:hAnsi="Calibri" w:cs="Calibri"/>
              <w:color w:val="004A9B"/>
              <w:sz w:val="14"/>
              <w:szCs w:val="14"/>
            </w:rPr>
            <w:t>Wcześniejsze wersje i aktualizacje niniejszego dokumentu utraciły ważność</w:t>
          </w:r>
        </w:p>
      </w:tc>
    </w:tr>
    <w:tr w:rsidR="00D554C1" w:rsidRPr="00A34C97" w:rsidTr="00691F81">
      <w:tc>
        <w:tcPr>
          <w:tcW w:w="9639" w:type="dxa"/>
          <w:gridSpan w:val="2"/>
          <w:vAlign w:val="bottom"/>
        </w:tcPr>
        <w:p w:rsidR="00D554C1" w:rsidRPr="00FE6BA0" w:rsidRDefault="00D554C1" w:rsidP="00104951">
          <w:pPr>
            <w:pStyle w:val="Nagwek"/>
            <w:spacing w:before="60"/>
            <w:rPr>
              <w:rFonts w:ascii="Calibri" w:hAnsi="Calibri" w:cs="Calibri"/>
              <w:color w:val="004A9B"/>
              <w:sz w:val="20"/>
              <w:szCs w:val="20"/>
            </w:rPr>
          </w:pPr>
          <w:r w:rsidRPr="00FE6BA0">
            <w:rPr>
              <w:rFonts w:ascii="Calibri" w:hAnsi="Calibri" w:cs="Calibri"/>
              <w:noProof/>
              <w:color w:val="004A9B"/>
              <w:sz w:val="20"/>
              <w:szCs w:val="20"/>
              <w:lang w:eastAsia="pl-PL"/>
            </w:rPr>
            <w:drawing>
              <wp:inline distT="0" distB="0" distL="0" distR="0">
                <wp:extent cx="5915025" cy="152400"/>
                <wp:effectExtent l="0" t="0" r="9525" b="0"/>
                <wp:docPr id="100" name="Picture 2" descr="horizontal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rizontal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54C1" w:rsidRPr="006D372B" w:rsidRDefault="00D554C1" w:rsidP="00B55483">
    <w:pPr>
      <w:pStyle w:val="Nagwek"/>
      <w:rPr>
        <w:rFonts w:ascii="Calibri" w:hAnsi="Calibri" w:cs="Calibri"/>
        <w:color w:val="595959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1" w:rsidRPr="000A6215" w:rsidRDefault="00D554C1" w:rsidP="000A6215">
    <w:pPr>
      <w:pStyle w:val="Nagwek"/>
      <w:jc w:val="right"/>
      <w:rPr>
        <w:rFonts w:ascii="Calibri" w:hAnsi="Calibri" w:cs="Calibri"/>
        <w:color w:val="595959"/>
        <w:sz w:val="16"/>
        <w:szCs w:val="16"/>
      </w:rPr>
    </w:pPr>
    <w:r w:rsidRPr="000A6215">
      <w:rPr>
        <w:rFonts w:ascii="Calibri" w:hAnsi="Calibri" w:cs="Calibri"/>
        <w:color w:val="595959"/>
        <w:sz w:val="16"/>
        <w:szCs w:val="16"/>
      </w:rPr>
      <w:t xml:space="preserve">Strona 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begin"/>
    </w:r>
    <w:r w:rsidRPr="000A6215">
      <w:rPr>
        <w:rFonts w:ascii="Calibri" w:hAnsi="Calibri" w:cs="Calibri"/>
        <w:color w:val="595959"/>
        <w:sz w:val="16"/>
        <w:szCs w:val="16"/>
      </w:rPr>
      <w:instrText xml:space="preserve"> PAGE </w:instrTex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separate"/>
    </w:r>
    <w:r>
      <w:rPr>
        <w:rFonts w:ascii="Calibri" w:hAnsi="Calibri" w:cs="Calibri"/>
        <w:noProof/>
        <w:color w:val="595959"/>
        <w:sz w:val="16"/>
        <w:szCs w:val="16"/>
      </w:rPr>
      <w:t>1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end"/>
    </w:r>
    <w:r w:rsidRPr="000A6215">
      <w:rPr>
        <w:rFonts w:ascii="Calibri" w:hAnsi="Calibri" w:cs="Calibri"/>
        <w:color w:val="595959"/>
        <w:sz w:val="16"/>
        <w:szCs w:val="16"/>
      </w:rPr>
      <w:t xml:space="preserve"> z 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begin"/>
    </w:r>
    <w:r w:rsidRPr="000A6215">
      <w:rPr>
        <w:rFonts w:ascii="Calibri" w:hAnsi="Calibri" w:cs="Calibri"/>
        <w:color w:val="595959"/>
        <w:sz w:val="16"/>
        <w:szCs w:val="16"/>
      </w:rPr>
      <w:instrText xml:space="preserve"> NUMPAGES </w:instrTex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separate"/>
    </w:r>
    <w:r w:rsidR="00987412">
      <w:rPr>
        <w:rFonts w:ascii="Calibri" w:hAnsi="Calibri" w:cs="Calibri"/>
        <w:noProof/>
        <w:color w:val="595959"/>
        <w:sz w:val="16"/>
        <w:szCs w:val="16"/>
      </w:rPr>
      <w:t>8</w:t>
    </w:r>
    <w:r w:rsidR="00A74DFB" w:rsidRPr="000A6215">
      <w:rPr>
        <w:rFonts w:ascii="Calibri" w:hAnsi="Calibri" w:cs="Calibri"/>
        <w:color w:val="595959"/>
        <w:sz w:val="16"/>
        <w:szCs w:val="16"/>
      </w:rPr>
      <w:fldChar w:fldCharType="end"/>
    </w:r>
  </w:p>
  <w:tbl>
    <w:tblPr>
      <w:tblW w:w="9493" w:type="dxa"/>
      <w:tblCellMar>
        <w:left w:w="0" w:type="dxa"/>
        <w:right w:w="0" w:type="dxa"/>
      </w:tblCellMar>
      <w:tblLook w:val="0000"/>
    </w:tblPr>
    <w:tblGrid>
      <w:gridCol w:w="5670"/>
      <w:gridCol w:w="3823"/>
    </w:tblGrid>
    <w:tr w:rsidR="00D554C1" w:rsidRPr="009A27FA" w:rsidTr="002F6070">
      <w:tc>
        <w:tcPr>
          <w:tcW w:w="5670" w:type="dxa"/>
          <w:vAlign w:val="center"/>
        </w:tcPr>
        <w:p w:rsidR="00D554C1" w:rsidRPr="002F6070" w:rsidRDefault="00D554C1" w:rsidP="008F5C01">
          <w:pPr>
            <w:rPr>
              <w:rFonts w:ascii="Calibri" w:hAnsi="Calibri" w:cs="Arial"/>
              <w:b/>
              <w:color w:val="000080"/>
              <w:sz w:val="72"/>
              <w:szCs w:val="72"/>
            </w:rPr>
          </w:pPr>
          <w:r>
            <w:rPr>
              <w:rFonts w:ascii="Calibri" w:hAnsi="Calibri" w:cs="Arial"/>
              <w:b/>
              <w:color w:val="000080"/>
              <w:sz w:val="72"/>
              <w:szCs w:val="72"/>
            </w:rPr>
            <w:t>OLEO 84 EC</w:t>
          </w:r>
        </w:p>
      </w:tc>
      <w:tc>
        <w:tcPr>
          <w:tcW w:w="3823" w:type="dxa"/>
          <w:vAlign w:val="center"/>
        </w:tcPr>
        <w:p w:rsidR="00D554C1" w:rsidRPr="009A27FA" w:rsidRDefault="00D554C1" w:rsidP="002F6070">
          <w:pPr>
            <w:pStyle w:val="Nagwek"/>
            <w:rPr>
              <w:rFonts w:ascii="Calibri" w:hAnsi="Calibri" w:cs="Calibri"/>
              <w:color w:val="000080"/>
              <w:szCs w:val="16"/>
            </w:rPr>
          </w:pPr>
          <w:r w:rsidRPr="009A27FA">
            <w:rPr>
              <w:rFonts w:ascii="Calibri" w:hAnsi="Calibri" w:cs="Calibri"/>
              <w:color w:val="000080"/>
            </w:rPr>
            <w:t>Karta Charakterystyki</w:t>
          </w:r>
          <w:r w:rsidRPr="009A27FA">
            <w:rPr>
              <w:rFonts w:ascii="Calibri" w:hAnsi="Calibri" w:cs="Calibri"/>
              <w:color w:val="000080"/>
              <w:szCs w:val="16"/>
            </w:rPr>
            <w:t xml:space="preserve"> </w:t>
          </w:r>
        </w:p>
        <w:p w:rsidR="00D554C1" w:rsidRPr="009A27FA" w:rsidRDefault="00D554C1" w:rsidP="002F6070">
          <w:pPr>
            <w:pStyle w:val="Nagwek"/>
            <w:rPr>
              <w:rFonts w:ascii="Calibri" w:hAnsi="Calibri" w:cs="Calibri"/>
              <w:color w:val="000080"/>
              <w:sz w:val="16"/>
              <w:szCs w:val="16"/>
            </w:rPr>
          </w:pP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 xml:space="preserve">Zgodna z Rozporządzeniem WE 1907/2006 (REACH) </w:t>
          </w:r>
        </w:p>
        <w:p w:rsidR="00D554C1" w:rsidRPr="009A27FA" w:rsidRDefault="00D554C1" w:rsidP="002F6070">
          <w:pPr>
            <w:pStyle w:val="Nagwek"/>
            <w:rPr>
              <w:rFonts w:ascii="Calibri" w:hAnsi="Calibri" w:cs="Calibri"/>
              <w:color w:val="000080"/>
              <w:sz w:val="16"/>
              <w:szCs w:val="16"/>
            </w:rPr>
          </w:pP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 xml:space="preserve">Data </w:t>
          </w:r>
          <w:r>
            <w:rPr>
              <w:rFonts w:ascii="Calibri" w:hAnsi="Calibri" w:cs="Calibri"/>
              <w:color w:val="000080"/>
              <w:sz w:val="16"/>
              <w:szCs w:val="16"/>
            </w:rPr>
            <w:t>sporządzenia (nr wersji): 2014</w:t>
          </w: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>/</w:t>
          </w:r>
          <w:r>
            <w:rPr>
              <w:rFonts w:ascii="Calibri" w:hAnsi="Calibri" w:cs="Calibri"/>
              <w:color w:val="000080"/>
              <w:sz w:val="16"/>
              <w:szCs w:val="16"/>
            </w:rPr>
            <w:t>11</w:t>
          </w: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>/</w:t>
          </w:r>
          <w:r>
            <w:rPr>
              <w:rFonts w:ascii="Calibri" w:hAnsi="Calibri" w:cs="Calibri"/>
              <w:color w:val="000080"/>
              <w:sz w:val="16"/>
              <w:szCs w:val="16"/>
            </w:rPr>
            <w:t>17</w:t>
          </w: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 xml:space="preserve"> (</w:t>
          </w:r>
          <w:r>
            <w:rPr>
              <w:rFonts w:ascii="Calibri" w:hAnsi="Calibri" w:cs="Calibri"/>
              <w:color w:val="000080"/>
              <w:sz w:val="16"/>
              <w:szCs w:val="16"/>
            </w:rPr>
            <w:t>1</w:t>
          </w: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>)</w:t>
          </w:r>
        </w:p>
        <w:p w:rsidR="00D554C1" w:rsidRPr="009A27FA" w:rsidRDefault="00D554C1" w:rsidP="002F6070">
          <w:pPr>
            <w:pStyle w:val="Nagwek"/>
            <w:rPr>
              <w:rFonts w:ascii="Calibri" w:hAnsi="Calibri" w:cs="Calibri"/>
              <w:color w:val="000080"/>
              <w:sz w:val="16"/>
              <w:szCs w:val="16"/>
            </w:rPr>
          </w:pPr>
          <w:r w:rsidRPr="009A27FA">
            <w:rPr>
              <w:rFonts w:ascii="Calibri" w:hAnsi="Calibri" w:cs="Calibri"/>
              <w:color w:val="000080"/>
              <w:sz w:val="16"/>
              <w:szCs w:val="16"/>
            </w:rPr>
            <w:t xml:space="preserve">Aktualizacja </w:t>
          </w:r>
          <w:r>
            <w:rPr>
              <w:rFonts w:ascii="Calibri" w:hAnsi="Calibri" w:cs="Calibri"/>
              <w:color w:val="000080"/>
              <w:sz w:val="16"/>
              <w:szCs w:val="16"/>
            </w:rPr>
            <w:t>(nr aktualizacji): patrz powyżej</w:t>
          </w:r>
        </w:p>
        <w:p w:rsidR="00D554C1" w:rsidRPr="009A27FA" w:rsidRDefault="00D554C1" w:rsidP="002F6070">
          <w:pPr>
            <w:pStyle w:val="Nagwek"/>
            <w:spacing w:before="60"/>
            <w:rPr>
              <w:rFonts w:ascii="Calibri" w:hAnsi="Calibri" w:cs="Calibri"/>
              <w:color w:val="000080"/>
              <w:sz w:val="44"/>
              <w:szCs w:val="44"/>
            </w:rPr>
          </w:pPr>
          <w:r w:rsidRPr="009A27FA">
            <w:rPr>
              <w:rFonts w:ascii="Calibri" w:hAnsi="Calibri" w:cs="Calibri"/>
              <w:color w:val="000080"/>
              <w:sz w:val="14"/>
              <w:szCs w:val="14"/>
            </w:rPr>
            <w:t xml:space="preserve">Wcześniejsze wersje i aktualizacje niniejszego dokumentu </w:t>
          </w:r>
          <w:r w:rsidRPr="009A27FA">
            <w:rPr>
              <w:rFonts w:ascii="Calibri" w:hAnsi="Calibri" w:cs="Calibri"/>
              <w:color w:val="000080"/>
              <w:sz w:val="14"/>
              <w:szCs w:val="14"/>
            </w:rPr>
            <w:br/>
            <w:t>utraciły ważność</w:t>
          </w:r>
        </w:p>
      </w:tc>
    </w:tr>
    <w:tr w:rsidR="00D554C1" w:rsidRPr="00A34C97" w:rsidTr="00B2156B">
      <w:tc>
        <w:tcPr>
          <w:tcW w:w="9493" w:type="dxa"/>
          <w:gridSpan w:val="2"/>
          <w:vAlign w:val="bottom"/>
        </w:tcPr>
        <w:p w:rsidR="00D554C1" w:rsidRPr="00A34C97" w:rsidRDefault="00D554C1" w:rsidP="00B2156B">
          <w:pPr>
            <w:pStyle w:val="Nagwek"/>
            <w:spacing w:before="60"/>
            <w:rPr>
              <w:rFonts w:ascii="Calibri" w:hAnsi="Calibri" w:cs="Calibri"/>
              <w:color w:val="004A9B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80"/>
              <w:sz w:val="44"/>
              <w:szCs w:val="44"/>
              <w:lang w:eastAsia="pl-PL"/>
            </w:rPr>
            <w:drawing>
              <wp:inline distT="0" distB="0" distL="0" distR="0">
                <wp:extent cx="5915025" cy="152400"/>
                <wp:effectExtent l="0" t="0" r="9525" b="0"/>
                <wp:docPr id="104" name="Picture 1" descr="horizontal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54C1" w:rsidRPr="00BF0A17" w:rsidRDefault="00D554C1" w:rsidP="00BF0A17">
    <w:pPr>
      <w:pStyle w:val="Nagwek"/>
      <w:rPr>
        <w:rFonts w:ascii="Calibri" w:hAnsi="Calibri" w:cs="Calibri"/>
        <w:color w:val="000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06101"/>
    <w:multiLevelType w:val="multilevel"/>
    <w:tmpl w:val="391072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hAnsi="Arial"/>
        <w:b/>
        <w:bCs/>
        <w:i/>
        <w:iCs/>
        <w:sz w:val="16"/>
        <w:szCs w:val="16"/>
      </w:rPr>
    </w:lvl>
    <w:lvl w:ilvl="2">
      <w:start w:val="1"/>
      <w:numFmt w:val="decimal"/>
      <w:lvlText w:val="%3."/>
      <w:lvlJc w:val="left"/>
      <w:rPr>
        <w:rFonts w:ascii="Arial" w:hAnsi="Arial"/>
        <w:b/>
        <w:bCs/>
        <w:i/>
        <w:iCs/>
        <w:sz w:val="16"/>
        <w:szCs w:val="16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i/>
        <w:iCs/>
        <w:sz w:val="16"/>
        <w:szCs w:val="16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i/>
        <w:iCs/>
        <w:sz w:val="16"/>
        <w:szCs w:val="16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i/>
        <w:iCs/>
        <w:sz w:val="16"/>
        <w:szCs w:val="16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i/>
        <w:iCs/>
        <w:sz w:val="16"/>
        <w:szCs w:val="16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i/>
        <w:iCs/>
        <w:sz w:val="16"/>
        <w:szCs w:val="16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i/>
        <w:iCs/>
        <w:sz w:val="16"/>
        <w:szCs w:val="16"/>
      </w:rPr>
    </w:lvl>
  </w:abstractNum>
  <w:abstractNum w:abstractNumId="2">
    <w:nsid w:val="4A8A51DE"/>
    <w:multiLevelType w:val="hybridMultilevel"/>
    <w:tmpl w:val="EF74CCB2"/>
    <w:lvl w:ilvl="0" w:tplc="16D2B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368B9"/>
    <w:multiLevelType w:val="multilevel"/>
    <w:tmpl w:val="69B0236C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6"/>
        <w:szCs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Theme="minorHAnsi" w:hAnsiTheme="minorHAnsi" w:cs="Arial" w:hint="default"/>
          <w:b w:val="0"/>
          <w:bCs w:val="0"/>
          <w:sz w:val="16"/>
          <w:szCs w:val="16"/>
        </w:rPr>
      </w:lvl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087"/>
    <w:rsid w:val="00007301"/>
    <w:rsid w:val="00017021"/>
    <w:rsid w:val="00020127"/>
    <w:rsid w:val="00032DA5"/>
    <w:rsid w:val="00032FF6"/>
    <w:rsid w:val="00037751"/>
    <w:rsid w:val="0005199C"/>
    <w:rsid w:val="0005388F"/>
    <w:rsid w:val="00055BF4"/>
    <w:rsid w:val="0005769A"/>
    <w:rsid w:val="00061E3D"/>
    <w:rsid w:val="00065393"/>
    <w:rsid w:val="00065410"/>
    <w:rsid w:val="000739EF"/>
    <w:rsid w:val="0008452D"/>
    <w:rsid w:val="0009330E"/>
    <w:rsid w:val="000A2CDD"/>
    <w:rsid w:val="000A6215"/>
    <w:rsid w:val="000B04A4"/>
    <w:rsid w:val="000B504D"/>
    <w:rsid w:val="000C0BB4"/>
    <w:rsid w:val="000C31B9"/>
    <w:rsid w:val="000C526A"/>
    <w:rsid w:val="000D5087"/>
    <w:rsid w:val="000E6AF8"/>
    <w:rsid w:val="000F1492"/>
    <w:rsid w:val="000F2C4E"/>
    <w:rsid w:val="000F4672"/>
    <w:rsid w:val="00104951"/>
    <w:rsid w:val="001049FF"/>
    <w:rsid w:val="00107EC2"/>
    <w:rsid w:val="00127D79"/>
    <w:rsid w:val="00127FFD"/>
    <w:rsid w:val="00131847"/>
    <w:rsid w:val="00147ED5"/>
    <w:rsid w:val="00160D6D"/>
    <w:rsid w:val="00172F47"/>
    <w:rsid w:val="00175649"/>
    <w:rsid w:val="00175858"/>
    <w:rsid w:val="0017686A"/>
    <w:rsid w:val="001802D3"/>
    <w:rsid w:val="00181C92"/>
    <w:rsid w:val="00183525"/>
    <w:rsid w:val="0018377C"/>
    <w:rsid w:val="0018782B"/>
    <w:rsid w:val="001964C2"/>
    <w:rsid w:val="0019739B"/>
    <w:rsid w:val="00197FAE"/>
    <w:rsid w:val="001B27F2"/>
    <w:rsid w:val="001B5B45"/>
    <w:rsid w:val="001C2CC8"/>
    <w:rsid w:val="001D1D97"/>
    <w:rsid w:val="001D3801"/>
    <w:rsid w:val="001E0FF2"/>
    <w:rsid w:val="001E7D33"/>
    <w:rsid w:val="002045D4"/>
    <w:rsid w:val="00221AF6"/>
    <w:rsid w:val="00227203"/>
    <w:rsid w:val="00227E2F"/>
    <w:rsid w:val="0024124A"/>
    <w:rsid w:val="00243511"/>
    <w:rsid w:val="00250641"/>
    <w:rsid w:val="0026448B"/>
    <w:rsid w:val="00273D93"/>
    <w:rsid w:val="00283702"/>
    <w:rsid w:val="00285B7F"/>
    <w:rsid w:val="00287F24"/>
    <w:rsid w:val="00290DD6"/>
    <w:rsid w:val="00294A59"/>
    <w:rsid w:val="002A0257"/>
    <w:rsid w:val="002A0722"/>
    <w:rsid w:val="002A0DAD"/>
    <w:rsid w:val="002A4860"/>
    <w:rsid w:val="002A6246"/>
    <w:rsid w:val="002B1B9E"/>
    <w:rsid w:val="002B666F"/>
    <w:rsid w:val="002B693A"/>
    <w:rsid w:val="002C0D96"/>
    <w:rsid w:val="002C228B"/>
    <w:rsid w:val="002C35EC"/>
    <w:rsid w:val="002D2144"/>
    <w:rsid w:val="002D5222"/>
    <w:rsid w:val="002E1A12"/>
    <w:rsid w:val="002E1A19"/>
    <w:rsid w:val="002E2B63"/>
    <w:rsid w:val="002F6070"/>
    <w:rsid w:val="00305ED2"/>
    <w:rsid w:val="00317288"/>
    <w:rsid w:val="00322A69"/>
    <w:rsid w:val="00332464"/>
    <w:rsid w:val="00336945"/>
    <w:rsid w:val="00341586"/>
    <w:rsid w:val="00350532"/>
    <w:rsid w:val="0035205E"/>
    <w:rsid w:val="003600B7"/>
    <w:rsid w:val="003635AF"/>
    <w:rsid w:val="0036516E"/>
    <w:rsid w:val="00365BF9"/>
    <w:rsid w:val="00367FA3"/>
    <w:rsid w:val="003B3CE9"/>
    <w:rsid w:val="003B75B4"/>
    <w:rsid w:val="003C0EA8"/>
    <w:rsid w:val="003D3506"/>
    <w:rsid w:val="003D66AC"/>
    <w:rsid w:val="003E52B1"/>
    <w:rsid w:val="00421391"/>
    <w:rsid w:val="004311A0"/>
    <w:rsid w:val="00432D3F"/>
    <w:rsid w:val="004345E6"/>
    <w:rsid w:val="0044094B"/>
    <w:rsid w:val="00450A04"/>
    <w:rsid w:val="00453C69"/>
    <w:rsid w:val="004678E5"/>
    <w:rsid w:val="004722E5"/>
    <w:rsid w:val="004806B9"/>
    <w:rsid w:val="004862EB"/>
    <w:rsid w:val="00495725"/>
    <w:rsid w:val="004A1F1D"/>
    <w:rsid w:val="004A1FA9"/>
    <w:rsid w:val="004A7675"/>
    <w:rsid w:val="004C656A"/>
    <w:rsid w:val="004D3AB9"/>
    <w:rsid w:val="004D7BC3"/>
    <w:rsid w:val="004E0BE4"/>
    <w:rsid w:val="004E40A5"/>
    <w:rsid w:val="004E4E9C"/>
    <w:rsid w:val="004E50A7"/>
    <w:rsid w:val="00500FDE"/>
    <w:rsid w:val="00504E8E"/>
    <w:rsid w:val="00513B4E"/>
    <w:rsid w:val="00515E7E"/>
    <w:rsid w:val="005206B7"/>
    <w:rsid w:val="00530C59"/>
    <w:rsid w:val="00530DDA"/>
    <w:rsid w:val="00537F5E"/>
    <w:rsid w:val="00544B5B"/>
    <w:rsid w:val="00547E79"/>
    <w:rsid w:val="00552834"/>
    <w:rsid w:val="00570355"/>
    <w:rsid w:val="0057326B"/>
    <w:rsid w:val="0058187B"/>
    <w:rsid w:val="0058752E"/>
    <w:rsid w:val="00597326"/>
    <w:rsid w:val="00597A0F"/>
    <w:rsid w:val="005A0928"/>
    <w:rsid w:val="005A218F"/>
    <w:rsid w:val="005B390F"/>
    <w:rsid w:val="005D2C21"/>
    <w:rsid w:val="005E6C93"/>
    <w:rsid w:val="005F38B9"/>
    <w:rsid w:val="005F5EA3"/>
    <w:rsid w:val="006146F0"/>
    <w:rsid w:val="00617176"/>
    <w:rsid w:val="006203DA"/>
    <w:rsid w:val="00624079"/>
    <w:rsid w:val="0063508F"/>
    <w:rsid w:val="00643E43"/>
    <w:rsid w:val="0065268C"/>
    <w:rsid w:val="00664AE6"/>
    <w:rsid w:val="00667C0D"/>
    <w:rsid w:val="006852AC"/>
    <w:rsid w:val="006908E2"/>
    <w:rsid w:val="00691F81"/>
    <w:rsid w:val="00693652"/>
    <w:rsid w:val="00694163"/>
    <w:rsid w:val="006A1637"/>
    <w:rsid w:val="006A28A0"/>
    <w:rsid w:val="006B1236"/>
    <w:rsid w:val="006C1242"/>
    <w:rsid w:val="006D372B"/>
    <w:rsid w:val="006D6AA8"/>
    <w:rsid w:val="006F03CC"/>
    <w:rsid w:val="006F5FEC"/>
    <w:rsid w:val="00701FC0"/>
    <w:rsid w:val="00702281"/>
    <w:rsid w:val="00704357"/>
    <w:rsid w:val="00710610"/>
    <w:rsid w:val="00711E36"/>
    <w:rsid w:val="00714901"/>
    <w:rsid w:val="007154F8"/>
    <w:rsid w:val="00720412"/>
    <w:rsid w:val="0072242C"/>
    <w:rsid w:val="00733795"/>
    <w:rsid w:val="00742763"/>
    <w:rsid w:val="007436F0"/>
    <w:rsid w:val="00746B73"/>
    <w:rsid w:val="00747ACD"/>
    <w:rsid w:val="00751486"/>
    <w:rsid w:val="00762C8F"/>
    <w:rsid w:val="00773F3A"/>
    <w:rsid w:val="007B5DF3"/>
    <w:rsid w:val="007C5C30"/>
    <w:rsid w:val="007D14DF"/>
    <w:rsid w:val="007D7199"/>
    <w:rsid w:val="007F43F0"/>
    <w:rsid w:val="007F7DA4"/>
    <w:rsid w:val="0080744E"/>
    <w:rsid w:val="008170E6"/>
    <w:rsid w:val="008201FB"/>
    <w:rsid w:val="00823A83"/>
    <w:rsid w:val="0083620C"/>
    <w:rsid w:val="008478F6"/>
    <w:rsid w:val="00856578"/>
    <w:rsid w:val="00861C45"/>
    <w:rsid w:val="008625A1"/>
    <w:rsid w:val="00863D61"/>
    <w:rsid w:val="00873691"/>
    <w:rsid w:val="0087598C"/>
    <w:rsid w:val="00877943"/>
    <w:rsid w:val="00880777"/>
    <w:rsid w:val="0088172C"/>
    <w:rsid w:val="00883176"/>
    <w:rsid w:val="00895E80"/>
    <w:rsid w:val="00897873"/>
    <w:rsid w:val="008A079E"/>
    <w:rsid w:val="008D717C"/>
    <w:rsid w:val="008E4B63"/>
    <w:rsid w:val="008E5453"/>
    <w:rsid w:val="008F5C01"/>
    <w:rsid w:val="00912376"/>
    <w:rsid w:val="009169CA"/>
    <w:rsid w:val="0093311A"/>
    <w:rsid w:val="00941886"/>
    <w:rsid w:val="009420D2"/>
    <w:rsid w:val="00952AC3"/>
    <w:rsid w:val="00975A2A"/>
    <w:rsid w:val="00976E49"/>
    <w:rsid w:val="00980147"/>
    <w:rsid w:val="00987412"/>
    <w:rsid w:val="00994832"/>
    <w:rsid w:val="009963D5"/>
    <w:rsid w:val="009A27FA"/>
    <w:rsid w:val="009A2B05"/>
    <w:rsid w:val="009B0918"/>
    <w:rsid w:val="009B56E3"/>
    <w:rsid w:val="009C05F2"/>
    <w:rsid w:val="009C41B7"/>
    <w:rsid w:val="009C6755"/>
    <w:rsid w:val="009D5E31"/>
    <w:rsid w:val="009F072E"/>
    <w:rsid w:val="009F1A2D"/>
    <w:rsid w:val="009F28E2"/>
    <w:rsid w:val="009F62E2"/>
    <w:rsid w:val="00A0585F"/>
    <w:rsid w:val="00A11BB8"/>
    <w:rsid w:val="00A21FBC"/>
    <w:rsid w:val="00A24210"/>
    <w:rsid w:val="00A34C97"/>
    <w:rsid w:val="00A46228"/>
    <w:rsid w:val="00A5617F"/>
    <w:rsid w:val="00A57BFA"/>
    <w:rsid w:val="00A65BF5"/>
    <w:rsid w:val="00A66318"/>
    <w:rsid w:val="00A74DFB"/>
    <w:rsid w:val="00A7553B"/>
    <w:rsid w:val="00A76029"/>
    <w:rsid w:val="00A93219"/>
    <w:rsid w:val="00A938FD"/>
    <w:rsid w:val="00AB15C0"/>
    <w:rsid w:val="00AB59F4"/>
    <w:rsid w:val="00AC1D5C"/>
    <w:rsid w:val="00AE0393"/>
    <w:rsid w:val="00AE0B12"/>
    <w:rsid w:val="00AF2F6E"/>
    <w:rsid w:val="00B0459C"/>
    <w:rsid w:val="00B1162F"/>
    <w:rsid w:val="00B13882"/>
    <w:rsid w:val="00B14442"/>
    <w:rsid w:val="00B2156B"/>
    <w:rsid w:val="00B254D4"/>
    <w:rsid w:val="00B25A1F"/>
    <w:rsid w:val="00B3650A"/>
    <w:rsid w:val="00B52CA2"/>
    <w:rsid w:val="00B55483"/>
    <w:rsid w:val="00B57A46"/>
    <w:rsid w:val="00B60826"/>
    <w:rsid w:val="00B70095"/>
    <w:rsid w:val="00B7750B"/>
    <w:rsid w:val="00B80C70"/>
    <w:rsid w:val="00B83AF6"/>
    <w:rsid w:val="00B86B3D"/>
    <w:rsid w:val="00B92C37"/>
    <w:rsid w:val="00BA0361"/>
    <w:rsid w:val="00BA1F19"/>
    <w:rsid w:val="00BA38C6"/>
    <w:rsid w:val="00BA4F25"/>
    <w:rsid w:val="00BA6E7C"/>
    <w:rsid w:val="00BB6957"/>
    <w:rsid w:val="00BC61B7"/>
    <w:rsid w:val="00BD74DD"/>
    <w:rsid w:val="00BD7959"/>
    <w:rsid w:val="00BE59A2"/>
    <w:rsid w:val="00BF0A17"/>
    <w:rsid w:val="00BF1DF1"/>
    <w:rsid w:val="00BF2CCE"/>
    <w:rsid w:val="00BF4DD7"/>
    <w:rsid w:val="00C03532"/>
    <w:rsid w:val="00C04A58"/>
    <w:rsid w:val="00C25752"/>
    <w:rsid w:val="00C4040D"/>
    <w:rsid w:val="00C40F11"/>
    <w:rsid w:val="00C445CE"/>
    <w:rsid w:val="00C44E73"/>
    <w:rsid w:val="00C5028E"/>
    <w:rsid w:val="00C5214D"/>
    <w:rsid w:val="00C61C7C"/>
    <w:rsid w:val="00C66C8D"/>
    <w:rsid w:val="00C85408"/>
    <w:rsid w:val="00CA345D"/>
    <w:rsid w:val="00CB0333"/>
    <w:rsid w:val="00CB1E8A"/>
    <w:rsid w:val="00CB2D7D"/>
    <w:rsid w:val="00CC3D27"/>
    <w:rsid w:val="00CD0EF3"/>
    <w:rsid w:val="00CD188F"/>
    <w:rsid w:val="00CD3B7B"/>
    <w:rsid w:val="00CE4F4B"/>
    <w:rsid w:val="00CF0808"/>
    <w:rsid w:val="00CF2492"/>
    <w:rsid w:val="00CF5EC2"/>
    <w:rsid w:val="00D0058B"/>
    <w:rsid w:val="00D16C84"/>
    <w:rsid w:val="00D26C48"/>
    <w:rsid w:val="00D32780"/>
    <w:rsid w:val="00D408B9"/>
    <w:rsid w:val="00D42B47"/>
    <w:rsid w:val="00D510FB"/>
    <w:rsid w:val="00D554C1"/>
    <w:rsid w:val="00D571A4"/>
    <w:rsid w:val="00D610DA"/>
    <w:rsid w:val="00D67DBE"/>
    <w:rsid w:val="00D70145"/>
    <w:rsid w:val="00D73B14"/>
    <w:rsid w:val="00D82EC0"/>
    <w:rsid w:val="00D86563"/>
    <w:rsid w:val="00D90247"/>
    <w:rsid w:val="00DA0619"/>
    <w:rsid w:val="00DA0AD0"/>
    <w:rsid w:val="00DA2370"/>
    <w:rsid w:val="00DA702C"/>
    <w:rsid w:val="00DC4DBA"/>
    <w:rsid w:val="00DD0526"/>
    <w:rsid w:val="00DD070D"/>
    <w:rsid w:val="00DE2CA7"/>
    <w:rsid w:val="00DE70CC"/>
    <w:rsid w:val="00DF0A10"/>
    <w:rsid w:val="00DF3F75"/>
    <w:rsid w:val="00DF60A0"/>
    <w:rsid w:val="00DF6430"/>
    <w:rsid w:val="00E0067D"/>
    <w:rsid w:val="00E0134D"/>
    <w:rsid w:val="00E112EE"/>
    <w:rsid w:val="00E1339C"/>
    <w:rsid w:val="00E2169B"/>
    <w:rsid w:val="00E22A52"/>
    <w:rsid w:val="00E30DFE"/>
    <w:rsid w:val="00E3620E"/>
    <w:rsid w:val="00E36D18"/>
    <w:rsid w:val="00E36E4C"/>
    <w:rsid w:val="00E404A7"/>
    <w:rsid w:val="00E42805"/>
    <w:rsid w:val="00E43296"/>
    <w:rsid w:val="00E471FD"/>
    <w:rsid w:val="00E602B3"/>
    <w:rsid w:val="00E6155C"/>
    <w:rsid w:val="00E71D32"/>
    <w:rsid w:val="00E76358"/>
    <w:rsid w:val="00E91EBC"/>
    <w:rsid w:val="00E96B69"/>
    <w:rsid w:val="00EA5831"/>
    <w:rsid w:val="00EA73FE"/>
    <w:rsid w:val="00EB3A05"/>
    <w:rsid w:val="00EB4CF8"/>
    <w:rsid w:val="00EB56B5"/>
    <w:rsid w:val="00EC29AF"/>
    <w:rsid w:val="00EC2E50"/>
    <w:rsid w:val="00EC46A0"/>
    <w:rsid w:val="00EE2C81"/>
    <w:rsid w:val="00EE7A27"/>
    <w:rsid w:val="00EF5293"/>
    <w:rsid w:val="00F06BB6"/>
    <w:rsid w:val="00F27BB0"/>
    <w:rsid w:val="00F37E56"/>
    <w:rsid w:val="00F42065"/>
    <w:rsid w:val="00F463FF"/>
    <w:rsid w:val="00F541F0"/>
    <w:rsid w:val="00F57392"/>
    <w:rsid w:val="00F81DC2"/>
    <w:rsid w:val="00F85847"/>
    <w:rsid w:val="00F8756E"/>
    <w:rsid w:val="00FA25D2"/>
    <w:rsid w:val="00FA3BB4"/>
    <w:rsid w:val="00FA5973"/>
    <w:rsid w:val="00FB175A"/>
    <w:rsid w:val="00FB7717"/>
    <w:rsid w:val="00FD55D1"/>
    <w:rsid w:val="00FE650B"/>
    <w:rsid w:val="00FE6BA0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1"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B45"/>
    <w:pPr>
      <w:keepNext/>
      <w:tabs>
        <w:tab w:val="left" w:pos="360"/>
      </w:tabs>
      <w:spacing w:before="120" w:after="60"/>
      <w:ind w:left="357" w:hanging="357"/>
      <w:jc w:val="both"/>
      <w:outlineLvl w:val="0"/>
    </w:pPr>
    <w:rPr>
      <w:rFonts w:ascii="Arial" w:hAnsi="Arial"/>
      <w:b/>
      <w:kern w:val="28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656A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656A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Nagwek">
    <w:name w:val="header"/>
    <w:basedOn w:val="Normalny"/>
    <w:link w:val="NagwekZnak"/>
    <w:uiPriority w:val="99"/>
    <w:rsid w:val="000D5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59C"/>
    <w:rPr>
      <w:rFonts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0D5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59C"/>
    <w:rPr>
      <w:rFonts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99"/>
    <w:rsid w:val="000D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D5087"/>
    <w:rPr>
      <w:rFonts w:cs="Times New Roman"/>
      <w:color w:val="0000FF"/>
      <w:u w:val="single"/>
    </w:rPr>
  </w:style>
  <w:style w:type="paragraph" w:customStyle="1" w:styleId="Tabela">
    <w:name w:val="Tabela"/>
    <w:basedOn w:val="Normalny"/>
    <w:uiPriority w:val="99"/>
    <w:rsid w:val="001B5B45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both"/>
    </w:pPr>
    <w:rPr>
      <w:rFonts w:ascii="Arial" w:hAnsi="Arial"/>
      <w:sz w:val="1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2E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656A"/>
    <w:rPr>
      <w:rFonts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D82E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9CA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4E4E9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E4E9C"/>
    <w:pPr>
      <w:suppressLineNumbers/>
    </w:pPr>
  </w:style>
  <w:style w:type="character" w:customStyle="1" w:styleId="StrongEmphasis">
    <w:name w:val="Strong Emphasis"/>
    <w:rsid w:val="00F57392"/>
    <w:rPr>
      <w:b/>
      <w:bCs/>
    </w:rPr>
  </w:style>
  <w:style w:type="numbering" w:customStyle="1" w:styleId="WW8Num1">
    <w:name w:val="WW8Num1"/>
    <w:basedOn w:val="Bezlisty"/>
    <w:rsid w:val="00F57392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5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Kosman@synthosgro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4358</Words>
  <Characters>26152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Synthos S.A.</Company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papuga-p</dc:creator>
  <cp:keywords/>
  <dc:description/>
  <cp:lastModifiedBy>Stefaniak</cp:lastModifiedBy>
  <cp:revision>2</cp:revision>
  <cp:lastPrinted>2015-12-29T00:48:00Z</cp:lastPrinted>
  <dcterms:created xsi:type="dcterms:W3CDTF">2015-12-30T11:37:00Z</dcterms:created>
  <dcterms:modified xsi:type="dcterms:W3CDTF">2015-12-30T11:37:00Z</dcterms:modified>
</cp:coreProperties>
</file>